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rPr>
          <w:rFonts w:ascii="宋体" w:hAnsi="宋体" w:cs="宋体"/>
          <w:b/>
          <w:bCs/>
          <w:color w:val="auto"/>
          <w:spacing w:val="120"/>
          <w:sz w:val="72"/>
          <w:szCs w:val="72"/>
          <w:highlight w:val="none"/>
        </w:rPr>
      </w:pPr>
      <w:r>
        <w:rPr>
          <w:rFonts w:hint="eastAsia" w:ascii="宋体" w:hAnsi="宋体" w:cs="宋体"/>
          <w:b/>
          <w:bCs/>
          <w:color w:val="auto"/>
          <w:spacing w:val="120"/>
          <w:sz w:val="72"/>
          <w:szCs w:val="72"/>
          <w:highlight w:val="none"/>
        </w:rPr>
        <w:t xml:space="preserve"> </w:t>
      </w:r>
    </w:p>
    <w:p>
      <w:pPr>
        <w:autoSpaceDE w:val="0"/>
        <w:autoSpaceDN w:val="0"/>
        <w:spacing w:line="500" w:lineRule="atLeast"/>
        <w:jc w:val="center"/>
        <w:textAlignment w:val="bottom"/>
        <w:rPr>
          <w:rFonts w:ascii="宋体" w:hAnsi="宋体" w:cs="宋体"/>
          <w:bCs/>
          <w:color w:val="auto"/>
          <w:sz w:val="84"/>
          <w:szCs w:val="84"/>
          <w:highlight w:val="none"/>
        </w:rPr>
      </w:pPr>
      <w:r>
        <w:rPr>
          <w:rFonts w:hint="eastAsia" w:ascii="宋体" w:hAnsi="宋体" w:cs="宋体"/>
          <w:b/>
          <w:bCs/>
          <w:color w:val="auto"/>
          <w:spacing w:val="120"/>
          <w:sz w:val="84"/>
          <w:szCs w:val="84"/>
          <w:highlight w:val="none"/>
        </w:rPr>
        <w:t>温州市国有企业</w:t>
      </w:r>
    </w:p>
    <w:p>
      <w:pPr>
        <w:spacing w:line="400" w:lineRule="atLeast"/>
        <w:jc w:val="center"/>
        <w:rPr>
          <w:rFonts w:ascii="宋体" w:hAnsi="宋体" w:cs="宋体"/>
          <w:b/>
          <w:color w:val="auto"/>
          <w:sz w:val="84"/>
          <w:szCs w:val="84"/>
          <w:highlight w:val="none"/>
        </w:rPr>
      </w:pPr>
    </w:p>
    <w:p>
      <w:pPr>
        <w:autoSpaceDE w:val="0"/>
        <w:autoSpaceDN w:val="0"/>
        <w:spacing w:line="500" w:lineRule="atLeast"/>
        <w:jc w:val="center"/>
        <w:textAlignment w:val="bottom"/>
        <w:rPr>
          <w:rFonts w:ascii="宋体" w:hAnsi="宋体" w:cs="宋体"/>
          <w:b/>
          <w:color w:val="auto"/>
          <w:sz w:val="84"/>
          <w:szCs w:val="84"/>
          <w:highlight w:val="none"/>
        </w:rPr>
      </w:pPr>
      <w:r>
        <w:rPr>
          <w:rFonts w:hint="eastAsia" w:ascii="宋体" w:hAnsi="宋体" w:cs="宋体"/>
          <w:b/>
          <w:color w:val="auto"/>
          <w:sz w:val="84"/>
          <w:szCs w:val="84"/>
          <w:highlight w:val="none"/>
        </w:rPr>
        <w:t xml:space="preserve"> </w:t>
      </w:r>
    </w:p>
    <w:p>
      <w:pPr>
        <w:autoSpaceDE w:val="0"/>
        <w:autoSpaceDN w:val="0"/>
        <w:spacing w:line="500" w:lineRule="atLeast"/>
        <w:jc w:val="center"/>
        <w:textAlignment w:val="bottom"/>
        <w:rPr>
          <w:rFonts w:ascii="宋体" w:hAnsi="宋体" w:cs="宋体"/>
          <w:b/>
          <w:color w:val="auto"/>
          <w:sz w:val="84"/>
          <w:szCs w:val="84"/>
          <w:highlight w:val="none"/>
        </w:rPr>
      </w:pPr>
      <w:r>
        <w:rPr>
          <w:rFonts w:hint="eastAsia" w:ascii="宋体" w:hAnsi="宋体" w:cs="宋体"/>
          <w:b/>
          <w:color w:val="auto"/>
          <w:sz w:val="84"/>
          <w:szCs w:val="84"/>
          <w:highlight w:val="none"/>
        </w:rPr>
        <w:t>采  购  文  件</w:t>
      </w:r>
    </w:p>
    <w:p>
      <w:pPr>
        <w:spacing w:line="400" w:lineRule="exact"/>
        <w:jc w:val="center"/>
        <w:rPr>
          <w:rFonts w:ascii="宋体" w:hAnsi="宋体" w:cs="宋体"/>
          <w:b/>
          <w:color w:val="auto"/>
          <w:sz w:val="32"/>
          <w:highlight w:val="none"/>
        </w:rPr>
      </w:pPr>
    </w:p>
    <w:p>
      <w:pPr>
        <w:spacing w:line="400" w:lineRule="exact"/>
        <w:jc w:val="center"/>
        <w:rPr>
          <w:rFonts w:ascii="宋体" w:hAnsi="宋体" w:cs="宋体"/>
          <w:b/>
          <w:color w:val="auto"/>
          <w:sz w:val="32"/>
          <w:highlight w:val="none"/>
        </w:rPr>
      </w:pPr>
    </w:p>
    <w:p>
      <w:pPr>
        <w:spacing w:line="400" w:lineRule="exact"/>
        <w:jc w:val="center"/>
        <w:rPr>
          <w:rFonts w:ascii="宋体" w:hAnsi="宋体" w:cs="宋体"/>
          <w:b/>
          <w:color w:val="auto"/>
          <w:sz w:val="32"/>
          <w:highlight w:val="none"/>
        </w:rPr>
      </w:pPr>
    </w:p>
    <w:tbl>
      <w:tblPr>
        <w:tblStyle w:val="27"/>
        <w:tblW w:w="7521" w:type="dxa"/>
        <w:jc w:val="center"/>
        <w:tblInd w:w="0" w:type="dxa"/>
        <w:tblLayout w:type="fixed"/>
        <w:tblCellMar>
          <w:top w:w="0" w:type="dxa"/>
          <w:left w:w="108" w:type="dxa"/>
          <w:bottom w:w="0" w:type="dxa"/>
          <w:right w:w="108" w:type="dxa"/>
        </w:tblCellMar>
      </w:tblPr>
      <w:tblGrid>
        <w:gridCol w:w="2340"/>
        <w:gridCol w:w="360"/>
        <w:gridCol w:w="4821"/>
      </w:tblGrid>
      <w:tr>
        <w:tblPrEx>
          <w:tblLayout w:type="fixed"/>
          <w:tblCellMar>
            <w:top w:w="0" w:type="dxa"/>
            <w:left w:w="108" w:type="dxa"/>
            <w:bottom w:w="0" w:type="dxa"/>
            <w:right w:w="108" w:type="dxa"/>
          </w:tblCellMar>
        </w:tblPrEx>
        <w:trPr>
          <w:trHeight w:val="659" w:hRule="atLeast"/>
          <w:jc w:val="center"/>
        </w:trPr>
        <w:tc>
          <w:tcPr>
            <w:tcW w:w="2340" w:type="dxa"/>
            <w:vAlign w:val="center"/>
          </w:tcPr>
          <w:p>
            <w:pPr>
              <w:adjustRightInd w:val="0"/>
              <w:snapToGrid w:val="0"/>
              <w:spacing w:line="440" w:lineRule="exact"/>
              <w:jc w:val="distribute"/>
              <w:rPr>
                <w:rFonts w:ascii="宋体" w:hAnsi="宋体" w:cs="宋体"/>
                <w:color w:val="auto"/>
                <w:sz w:val="30"/>
                <w:szCs w:val="30"/>
                <w:highlight w:val="none"/>
              </w:rPr>
            </w:pPr>
            <w:r>
              <w:rPr>
                <w:rFonts w:hint="eastAsia" w:ascii="宋体" w:hAnsi="宋体" w:cs="宋体"/>
                <w:color w:val="auto"/>
                <w:spacing w:val="40"/>
                <w:sz w:val="30"/>
                <w:szCs w:val="30"/>
                <w:highlight w:val="none"/>
              </w:rPr>
              <w:t>采购编号</w:t>
            </w:r>
          </w:p>
        </w:tc>
        <w:tc>
          <w:tcPr>
            <w:tcW w:w="360" w:type="dxa"/>
            <w:vAlign w:val="center"/>
          </w:tcPr>
          <w:p>
            <w:pPr>
              <w:adjustRightInd w:val="0"/>
              <w:snapToGrid w:val="0"/>
              <w:spacing w:line="440" w:lineRule="exact"/>
              <w:jc w:val="distribute"/>
              <w:rPr>
                <w:rFonts w:ascii="宋体" w:hAnsi="宋体" w:cs="宋体"/>
                <w:color w:val="auto"/>
                <w:sz w:val="30"/>
                <w:szCs w:val="30"/>
                <w:highlight w:val="none"/>
              </w:rPr>
            </w:pPr>
            <w:r>
              <w:rPr>
                <w:rFonts w:hint="eastAsia" w:ascii="宋体" w:hAnsi="宋体" w:cs="宋体"/>
                <w:color w:val="auto"/>
                <w:sz w:val="30"/>
                <w:szCs w:val="30"/>
                <w:highlight w:val="none"/>
              </w:rPr>
              <w:t>：</w:t>
            </w:r>
          </w:p>
        </w:tc>
        <w:tc>
          <w:tcPr>
            <w:tcW w:w="4821" w:type="dxa"/>
            <w:vAlign w:val="center"/>
          </w:tcPr>
          <w:p>
            <w:pPr>
              <w:adjustRightInd w:val="0"/>
              <w:snapToGrid w:val="0"/>
              <w:spacing w:line="440" w:lineRule="exact"/>
              <w:rPr>
                <w:rFonts w:ascii="宋体" w:hAnsi="宋体" w:cs="宋体"/>
                <w:color w:val="auto"/>
                <w:spacing w:val="-20"/>
                <w:sz w:val="30"/>
                <w:szCs w:val="30"/>
                <w:highlight w:val="none"/>
              </w:rPr>
            </w:pPr>
            <w:ins w:id="0" w:author="水淼淼" w:date="2021-09-07T14:45:59Z">
              <w:r>
                <w:rPr>
                  <w:rFonts w:hint="eastAsia" w:ascii="宋体" w:hAnsi="宋体" w:cs="宋体"/>
                  <w:color w:val="auto"/>
                  <w:spacing w:val="-20"/>
                  <w:sz w:val="30"/>
                  <w:szCs w:val="30"/>
                  <w:highlight w:val="none"/>
                </w:rPr>
                <w:t>GYJT-2021-14</w:t>
              </w:r>
            </w:ins>
          </w:p>
        </w:tc>
      </w:tr>
      <w:tr>
        <w:tblPrEx>
          <w:tblLayout w:type="fixed"/>
          <w:tblCellMar>
            <w:top w:w="0" w:type="dxa"/>
            <w:left w:w="108" w:type="dxa"/>
            <w:bottom w:w="0" w:type="dxa"/>
            <w:right w:w="108" w:type="dxa"/>
          </w:tblCellMar>
        </w:tblPrEx>
        <w:trPr>
          <w:trHeight w:val="614" w:hRule="atLeast"/>
          <w:jc w:val="center"/>
        </w:trPr>
        <w:tc>
          <w:tcPr>
            <w:tcW w:w="2340" w:type="dxa"/>
            <w:vAlign w:val="center"/>
          </w:tcPr>
          <w:p>
            <w:pPr>
              <w:adjustRightInd w:val="0"/>
              <w:snapToGrid w:val="0"/>
              <w:spacing w:line="440" w:lineRule="exact"/>
              <w:jc w:val="distribute"/>
              <w:rPr>
                <w:rFonts w:ascii="宋体" w:hAnsi="宋体" w:cs="宋体"/>
                <w:color w:val="auto"/>
                <w:sz w:val="30"/>
                <w:szCs w:val="30"/>
                <w:highlight w:val="none"/>
              </w:rPr>
            </w:pPr>
            <w:r>
              <w:rPr>
                <w:rFonts w:hint="eastAsia" w:ascii="宋体" w:hAnsi="宋体" w:cs="宋体"/>
                <w:color w:val="auto"/>
                <w:spacing w:val="40"/>
                <w:sz w:val="30"/>
                <w:szCs w:val="30"/>
                <w:highlight w:val="none"/>
              </w:rPr>
              <w:t>采购项目</w:t>
            </w:r>
          </w:p>
        </w:tc>
        <w:tc>
          <w:tcPr>
            <w:tcW w:w="360" w:type="dxa"/>
            <w:vAlign w:val="center"/>
          </w:tcPr>
          <w:p>
            <w:pPr>
              <w:adjustRightInd w:val="0"/>
              <w:snapToGrid w:val="0"/>
              <w:spacing w:line="440" w:lineRule="exact"/>
              <w:jc w:val="distribute"/>
              <w:rPr>
                <w:rFonts w:ascii="宋体" w:hAnsi="宋体" w:cs="宋体"/>
                <w:color w:val="auto"/>
                <w:sz w:val="30"/>
                <w:szCs w:val="30"/>
                <w:highlight w:val="none"/>
              </w:rPr>
            </w:pPr>
            <w:r>
              <w:rPr>
                <w:rFonts w:hint="eastAsia" w:ascii="宋体" w:hAnsi="宋体" w:cs="宋体"/>
                <w:color w:val="auto"/>
                <w:sz w:val="30"/>
                <w:szCs w:val="30"/>
                <w:highlight w:val="none"/>
              </w:rPr>
              <w:t>：</w:t>
            </w:r>
          </w:p>
        </w:tc>
        <w:tc>
          <w:tcPr>
            <w:tcW w:w="4821" w:type="dxa"/>
            <w:vAlign w:val="center"/>
          </w:tcPr>
          <w:p>
            <w:pPr>
              <w:adjustRightInd w:val="0"/>
              <w:snapToGrid w:val="0"/>
              <w:spacing w:line="440" w:lineRule="exact"/>
              <w:rPr>
                <w:ins w:id="1" w:author="水淼淼" w:date="2021-09-07T14:48:01Z"/>
                <w:rFonts w:hint="eastAsia"/>
              </w:rPr>
            </w:pPr>
            <w:r>
              <w:rPr>
                <w:rFonts w:hint="eastAsia" w:ascii="宋体" w:hAnsi="宋体" w:cs="宋体"/>
                <w:color w:val="auto"/>
                <w:spacing w:val="-20"/>
                <w:sz w:val="30"/>
                <w:szCs w:val="30"/>
                <w:highlight w:val="none"/>
                <w:rPrChange w:id="2" w:author="水淼淼" w:date="2021-09-07T14:54:55Z">
                  <w:rPr>
                    <w:rFonts w:hint="eastAsia"/>
                  </w:rPr>
                </w:rPrChange>
              </w:rPr>
              <w:t>快鹿集团安保服务采购</w:t>
            </w:r>
          </w:p>
          <w:p>
            <w:pPr>
              <w:pStyle w:val="2"/>
            </w:pPr>
          </w:p>
        </w:tc>
      </w:tr>
      <w:tr>
        <w:tblPrEx>
          <w:tblLayout w:type="fixed"/>
          <w:tblCellMar>
            <w:top w:w="0" w:type="dxa"/>
            <w:left w:w="108" w:type="dxa"/>
            <w:bottom w:w="0" w:type="dxa"/>
            <w:right w:w="108" w:type="dxa"/>
          </w:tblCellMar>
        </w:tblPrEx>
        <w:trPr>
          <w:trHeight w:val="614" w:hRule="atLeast"/>
          <w:jc w:val="center"/>
        </w:trPr>
        <w:tc>
          <w:tcPr>
            <w:tcW w:w="2340" w:type="dxa"/>
            <w:vAlign w:val="center"/>
          </w:tcPr>
          <w:p>
            <w:pPr>
              <w:adjustRightInd w:val="0"/>
              <w:snapToGrid w:val="0"/>
              <w:spacing w:line="440" w:lineRule="exact"/>
              <w:jc w:val="distribute"/>
              <w:rPr>
                <w:rFonts w:ascii="宋体" w:hAnsi="宋体" w:cs="宋体"/>
                <w:color w:val="auto"/>
                <w:sz w:val="30"/>
                <w:szCs w:val="30"/>
                <w:highlight w:val="none"/>
              </w:rPr>
            </w:pPr>
            <w:r>
              <w:rPr>
                <w:rFonts w:hint="eastAsia" w:ascii="宋体" w:hAnsi="宋体" w:cs="宋体"/>
                <w:color w:val="auto"/>
                <w:spacing w:val="40"/>
                <w:sz w:val="30"/>
                <w:szCs w:val="30"/>
                <w:highlight w:val="none"/>
              </w:rPr>
              <w:t>采购方式</w:t>
            </w:r>
          </w:p>
        </w:tc>
        <w:tc>
          <w:tcPr>
            <w:tcW w:w="360" w:type="dxa"/>
            <w:vAlign w:val="center"/>
          </w:tcPr>
          <w:p>
            <w:pPr>
              <w:adjustRightInd w:val="0"/>
              <w:snapToGrid w:val="0"/>
              <w:spacing w:line="440" w:lineRule="exact"/>
              <w:jc w:val="distribute"/>
              <w:rPr>
                <w:rFonts w:ascii="宋体" w:hAnsi="宋体" w:cs="宋体"/>
                <w:color w:val="auto"/>
                <w:sz w:val="30"/>
                <w:szCs w:val="30"/>
                <w:highlight w:val="none"/>
              </w:rPr>
            </w:pPr>
            <w:r>
              <w:rPr>
                <w:rFonts w:hint="eastAsia" w:ascii="宋体" w:hAnsi="宋体" w:cs="宋体"/>
                <w:color w:val="auto"/>
                <w:sz w:val="30"/>
                <w:szCs w:val="30"/>
                <w:highlight w:val="none"/>
              </w:rPr>
              <w:t>：</w:t>
            </w:r>
          </w:p>
        </w:tc>
        <w:tc>
          <w:tcPr>
            <w:tcW w:w="4821" w:type="dxa"/>
            <w:vAlign w:val="center"/>
          </w:tcPr>
          <w:p>
            <w:pPr>
              <w:adjustRightInd w:val="0"/>
              <w:snapToGrid w:val="0"/>
              <w:spacing w:line="440" w:lineRule="exact"/>
              <w:rPr>
                <w:rFonts w:ascii="宋体" w:hAnsi="宋体" w:cs="宋体"/>
                <w:color w:val="auto"/>
                <w:sz w:val="30"/>
                <w:szCs w:val="30"/>
                <w:highlight w:val="none"/>
              </w:rPr>
            </w:pPr>
            <w:r>
              <w:rPr>
                <w:rFonts w:hint="eastAsia" w:ascii="宋体" w:hAnsi="宋体" w:cs="宋体"/>
                <w:color w:val="auto"/>
                <w:sz w:val="30"/>
                <w:szCs w:val="30"/>
                <w:highlight w:val="none"/>
              </w:rPr>
              <w:t>公开招标</w:t>
            </w:r>
          </w:p>
        </w:tc>
      </w:tr>
    </w:tbl>
    <w:p>
      <w:pPr>
        <w:jc w:val="center"/>
        <w:rPr>
          <w:rFonts w:ascii="宋体" w:hAnsi="宋体" w:cs="宋体"/>
          <w:b/>
          <w:color w:val="auto"/>
          <w:sz w:val="24"/>
          <w:highlight w:val="none"/>
        </w:rPr>
      </w:pPr>
    </w:p>
    <w:p>
      <w:pPr>
        <w:jc w:val="center"/>
        <w:rPr>
          <w:rFonts w:ascii="宋体" w:hAnsi="宋体" w:cs="宋体"/>
          <w:b/>
          <w:color w:val="auto"/>
          <w:sz w:val="24"/>
          <w:highlight w:val="none"/>
        </w:rPr>
      </w:pPr>
    </w:p>
    <w:p>
      <w:pPr>
        <w:jc w:val="center"/>
        <w:rPr>
          <w:rFonts w:ascii="宋体" w:hAnsi="宋体" w:cs="宋体"/>
          <w:b/>
          <w:color w:val="auto"/>
          <w:sz w:val="24"/>
          <w:highlight w:val="none"/>
        </w:rPr>
      </w:pPr>
    </w:p>
    <w:p>
      <w:pPr>
        <w:jc w:val="center"/>
        <w:rPr>
          <w:rFonts w:ascii="宋体" w:hAnsi="宋体" w:cs="宋体"/>
          <w:b/>
          <w:color w:val="auto"/>
          <w:sz w:val="24"/>
          <w:highlight w:val="none"/>
        </w:rPr>
      </w:pPr>
    </w:p>
    <w:p>
      <w:pPr>
        <w:rPr>
          <w:rFonts w:ascii="宋体" w:hAnsi="宋体" w:cs="宋体"/>
          <w:b/>
          <w:color w:val="auto"/>
          <w:sz w:val="24"/>
          <w:highlight w:val="none"/>
        </w:rPr>
      </w:pPr>
    </w:p>
    <w:p>
      <w:pPr>
        <w:jc w:val="center"/>
        <w:rPr>
          <w:rFonts w:ascii="宋体" w:hAnsi="宋体" w:cs="宋体"/>
          <w:b/>
          <w:color w:val="auto"/>
          <w:sz w:val="24"/>
          <w:highlight w:val="none"/>
        </w:rPr>
      </w:pPr>
    </w:p>
    <w:p>
      <w:pPr>
        <w:jc w:val="center"/>
        <w:rPr>
          <w:rFonts w:ascii="宋体" w:hAnsi="宋体" w:cs="宋体"/>
          <w:b/>
          <w:color w:val="auto"/>
          <w:sz w:val="24"/>
          <w:highlight w:val="none"/>
        </w:rPr>
      </w:pPr>
    </w:p>
    <w:tbl>
      <w:tblPr>
        <w:tblStyle w:val="27"/>
        <w:tblW w:w="7675" w:type="dxa"/>
        <w:jc w:val="center"/>
        <w:tblInd w:w="0" w:type="dxa"/>
        <w:tblLayout w:type="fixed"/>
        <w:tblCellMar>
          <w:top w:w="0" w:type="dxa"/>
          <w:left w:w="108" w:type="dxa"/>
          <w:bottom w:w="0" w:type="dxa"/>
          <w:right w:w="108" w:type="dxa"/>
        </w:tblCellMar>
      </w:tblPr>
      <w:tblGrid>
        <w:gridCol w:w="2199"/>
        <w:gridCol w:w="405"/>
        <w:gridCol w:w="5071"/>
      </w:tblGrid>
      <w:tr>
        <w:tblPrEx>
          <w:tblLayout w:type="fixed"/>
          <w:tblCellMar>
            <w:top w:w="0" w:type="dxa"/>
            <w:left w:w="108" w:type="dxa"/>
            <w:bottom w:w="0" w:type="dxa"/>
            <w:right w:w="108" w:type="dxa"/>
          </w:tblCellMar>
        </w:tblPrEx>
        <w:trPr>
          <w:trHeight w:val="614" w:hRule="atLeast"/>
          <w:jc w:val="center"/>
        </w:trPr>
        <w:tc>
          <w:tcPr>
            <w:tcW w:w="2199" w:type="dxa"/>
            <w:vAlign w:val="center"/>
          </w:tcPr>
          <w:p>
            <w:pPr>
              <w:adjustRightInd w:val="0"/>
              <w:snapToGrid w:val="0"/>
              <w:spacing w:line="440" w:lineRule="exact"/>
              <w:jc w:val="distribute"/>
              <w:rPr>
                <w:rFonts w:ascii="宋体" w:hAnsi="宋体" w:cs="宋体"/>
                <w:color w:val="auto"/>
                <w:sz w:val="30"/>
                <w:szCs w:val="30"/>
                <w:highlight w:val="none"/>
              </w:rPr>
            </w:pPr>
            <w:r>
              <w:rPr>
                <w:rFonts w:hint="eastAsia" w:ascii="宋体" w:hAnsi="宋体" w:cs="宋体"/>
                <w:color w:val="auto"/>
                <w:sz w:val="30"/>
                <w:szCs w:val="30"/>
                <w:highlight w:val="none"/>
              </w:rPr>
              <w:t>采购人</w:t>
            </w:r>
          </w:p>
        </w:tc>
        <w:tc>
          <w:tcPr>
            <w:tcW w:w="405" w:type="dxa"/>
            <w:tcBorders>
              <w:left w:val="nil"/>
            </w:tcBorders>
            <w:vAlign w:val="center"/>
          </w:tcPr>
          <w:p>
            <w:pPr>
              <w:adjustRightInd w:val="0"/>
              <w:snapToGrid w:val="0"/>
              <w:spacing w:line="440" w:lineRule="exact"/>
              <w:jc w:val="distribute"/>
              <w:rPr>
                <w:rFonts w:ascii="宋体" w:hAnsi="宋体" w:cs="宋体"/>
                <w:color w:val="auto"/>
                <w:sz w:val="30"/>
                <w:szCs w:val="30"/>
                <w:highlight w:val="none"/>
              </w:rPr>
            </w:pPr>
            <w:r>
              <w:rPr>
                <w:rFonts w:hint="eastAsia" w:ascii="宋体" w:hAnsi="宋体" w:cs="宋体"/>
                <w:color w:val="auto"/>
                <w:sz w:val="30"/>
                <w:szCs w:val="30"/>
                <w:highlight w:val="none"/>
              </w:rPr>
              <w:t>：</w:t>
            </w:r>
          </w:p>
        </w:tc>
        <w:tc>
          <w:tcPr>
            <w:tcW w:w="5071" w:type="dxa"/>
            <w:vAlign w:val="center"/>
          </w:tcPr>
          <w:p>
            <w:pPr>
              <w:adjustRightInd w:val="0"/>
              <w:snapToGrid w:val="0"/>
              <w:spacing w:line="440" w:lineRule="exact"/>
              <w:jc w:val="distribute"/>
              <w:rPr>
                <w:rFonts w:ascii="宋体" w:hAnsi="宋体" w:cs="宋体"/>
                <w:color w:val="auto"/>
                <w:sz w:val="30"/>
                <w:szCs w:val="30"/>
                <w:highlight w:val="none"/>
              </w:rPr>
            </w:pPr>
            <w:r>
              <w:rPr>
                <w:rFonts w:hint="eastAsia" w:ascii="宋体" w:hAnsi="宋体" w:cs="宋体"/>
                <w:color w:val="auto"/>
                <w:sz w:val="30"/>
                <w:szCs w:val="30"/>
                <w:highlight w:val="none"/>
              </w:rPr>
              <w:t>温州快鹿集团公司</w:t>
            </w:r>
          </w:p>
        </w:tc>
      </w:tr>
      <w:tr>
        <w:tblPrEx>
          <w:tblLayout w:type="fixed"/>
          <w:tblCellMar>
            <w:top w:w="0" w:type="dxa"/>
            <w:left w:w="108" w:type="dxa"/>
            <w:bottom w:w="0" w:type="dxa"/>
            <w:right w:w="108" w:type="dxa"/>
          </w:tblCellMar>
        </w:tblPrEx>
        <w:trPr>
          <w:trHeight w:val="614" w:hRule="atLeast"/>
          <w:jc w:val="center"/>
        </w:trPr>
        <w:tc>
          <w:tcPr>
            <w:tcW w:w="2199" w:type="dxa"/>
            <w:vAlign w:val="center"/>
          </w:tcPr>
          <w:p>
            <w:pPr>
              <w:adjustRightInd w:val="0"/>
              <w:snapToGrid w:val="0"/>
              <w:spacing w:line="440" w:lineRule="exact"/>
              <w:jc w:val="distribute"/>
              <w:rPr>
                <w:rFonts w:ascii="宋体" w:hAnsi="宋体" w:cs="宋体"/>
                <w:color w:val="auto"/>
                <w:sz w:val="30"/>
                <w:szCs w:val="30"/>
                <w:highlight w:val="none"/>
              </w:rPr>
            </w:pPr>
            <w:r>
              <w:rPr>
                <w:rFonts w:hint="eastAsia" w:ascii="宋体" w:hAnsi="宋体" w:cs="宋体"/>
                <w:color w:val="auto"/>
                <w:sz w:val="30"/>
                <w:szCs w:val="30"/>
                <w:highlight w:val="none"/>
              </w:rPr>
              <w:t>采购代理机构</w:t>
            </w:r>
          </w:p>
        </w:tc>
        <w:tc>
          <w:tcPr>
            <w:tcW w:w="405" w:type="dxa"/>
            <w:tcBorders>
              <w:left w:val="nil"/>
            </w:tcBorders>
            <w:vAlign w:val="center"/>
          </w:tcPr>
          <w:p>
            <w:pPr>
              <w:adjustRightInd w:val="0"/>
              <w:snapToGrid w:val="0"/>
              <w:spacing w:line="440" w:lineRule="exact"/>
              <w:jc w:val="distribute"/>
              <w:rPr>
                <w:rFonts w:ascii="宋体" w:hAnsi="宋体" w:cs="宋体"/>
                <w:color w:val="auto"/>
                <w:sz w:val="30"/>
                <w:szCs w:val="30"/>
                <w:highlight w:val="none"/>
              </w:rPr>
            </w:pPr>
            <w:r>
              <w:rPr>
                <w:rFonts w:hint="eastAsia" w:ascii="宋体" w:hAnsi="宋体" w:cs="宋体"/>
                <w:color w:val="auto"/>
                <w:sz w:val="30"/>
                <w:szCs w:val="30"/>
                <w:highlight w:val="none"/>
              </w:rPr>
              <w:t>：</w:t>
            </w:r>
          </w:p>
        </w:tc>
        <w:tc>
          <w:tcPr>
            <w:tcW w:w="5071" w:type="dxa"/>
            <w:vAlign w:val="center"/>
          </w:tcPr>
          <w:p>
            <w:pPr>
              <w:adjustRightInd w:val="0"/>
              <w:snapToGrid w:val="0"/>
              <w:spacing w:line="440" w:lineRule="exact"/>
              <w:jc w:val="distribute"/>
              <w:rPr>
                <w:rFonts w:ascii="宋体" w:hAnsi="宋体" w:cs="宋体"/>
                <w:color w:val="auto"/>
                <w:sz w:val="30"/>
                <w:szCs w:val="30"/>
                <w:highlight w:val="none"/>
              </w:rPr>
            </w:pPr>
            <w:r>
              <w:rPr>
                <w:rFonts w:hint="eastAsia" w:ascii="宋体" w:hAnsi="宋体" w:cs="宋体"/>
                <w:color w:val="auto"/>
                <w:sz w:val="30"/>
                <w:szCs w:val="30"/>
                <w:highlight w:val="none"/>
              </w:rPr>
              <w:t>浙江信诚项目管理有限公司</w:t>
            </w:r>
          </w:p>
        </w:tc>
      </w:tr>
    </w:tbl>
    <w:p>
      <w:pPr>
        <w:spacing w:before="120" w:beforeLines="50" w:line="360" w:lineRule="auto"/>
        <w:jc w:val="center"/>
        <w:rPr>
          <w:rFonts w:ascii="宋体" w:hAnsi="宋体" w:cs="宋体"/>
          <w:color w:val="auto"/>
          <w:spacing w:val="40"/>
          <w:sz w:val="30"/>
          <w:szCs w:val="30"/>
          <w:highlight w:val="none"/>
        </w:rPr>
      </w:pPr>
    </w:p>
    <w:p>
      <w:pPr>
        <w:spacing w:before="120" w:beforeLines="50" w:line="360" w:lineRule="auto"/>
        <w:jc w:val="center"/>
        <w:rPr>
          <w:rFonts w:ascii="宋体" w:hAnsi="宋体" w:cs="宋体"/>
          <w:color w:val="auto"/>
          <w:spacing w:val="40"/>
          <w:sz w:val="30"/>
          <w:szCs w:val="30"/>
          <w:highlight w:val="none"/>
        </w:rPr>
      </w:pPr>
      <w:r>
        <w:rPr>
          <w:rFonts w:hint="eastAsia" w:ascii="宋体" w:hAnsi="宋体" w:cs="宋体"/>
          <w:color w:val="auto"/>
          <w:spacing w:val="40"/>
          <w:sz w:val="30"/>
          <w:szCs w:val="30"/>
          <w:highlight w:val="none"/>
        </w:rPr>
        <w:t>二〇二一年九月</w:t>
      </w:r>
    </w:p>
    <w:p>
      <w:pPr>
        <w:jc w:val="center"/>
        <w:rPr>
          <w:rFonts w:ascii="宋体" w:hAnsi="宋体" w:cs="宋体"/>
          <w:b/>
          <w:bCs/>
          <w:color w:val="auto"/>
          <w:sz w:val="32"/>
          <w:szCs w:val="32"/>
          <w:highlight w:val="none"/>
        </w:rPr>
        <w:sectPr>
          <w:pgSz w:w="11900" w:h="16838"/>
          <w:pgMar w:top="1440" w:right="1474" w:bottom="1440" w:left="1474" w:header="737" w:footer="737" w:gutter="0"/>
          <w:pgBorders>
            <w:top w:val="none" w:sz="0" w:space="0"/>
            <w:left w:val="none" w:sz="0" w:space="0"/>
            <w:bottom w:val="none" w:sz="0" w:space="0"/>
            <w:right w:val="none" w:sz="0" w:space="0"/>
          </w:pgBorders>
          <w:cols w:space="720" w:num="1"/>
          <w:docGrid w:linePitch="312" w:charSpace="0"/>
        </w:sectPr>
      </w:pPr>
    </w:p>
    <w:p>
      <w:pPr>
        <w:pStyle w:val="22"/>
        <w:rPr>
          <w:color w:val="auto"/>
          <w:highlight w:val="none"/>
        </w:rPr>
      </w:pPr>
    </w:p>
    <w:p>
      <w:pPr>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目    录</w:t>
      </w:r>
    </w:p>
    <w:p>
      <w:pPr>
        <w:pStyle w:val="2"/>
        <w:rPr>
          <w:color w:val="auto"/>
          <w:highlight w:val="none"/>
        </w:rPr>
      </w:pPr>
    </w:p>
    <w:p>
      <w:pPr>
        <w:pStyle w:val="20"/>
        <w:rPr>
          <w:rFonts w:ascii="宋体" w:hAnsi="宋体" w:cs="宋体"/>
          <w:color w:val="auto"/>
          <w:szCs w:val="21"/>
          <w:highlight w:val="none"/>
        </w:rPr>
      </w:pPr>
      <w:r>
        <w:rPr>
          <w:rFonts w:hint="eastAsia" w:ascii="宋体" w:hAnsi="宋体" w:cs="宋体"/>
          <w:color w:val="auto"/>
          <w:sz w:val="33"/>
          <w:highlight w:val="none"/>
        </w:rPr>
        <w:fldChar w:fldCharType="begin"/>
      </w:r>
      <w:r>
        <w:rPr>
          <w:rStyle w:val="25"/>
          <w:rFonts w:hint="eastAsia" w:ascii="宋体" w:hAnsi="宋体" w:cs="宋体"/>
          <w:color w:val="auto"/>
          <w:sz w:val="33"/>
          <w:highlight w:val="none"/>
        </w:rPr>
        <w:instrText xml:space="preserve"> TOC \o "1-3" \h \z \u </w:instrText>
      </w:r>
      <w:r>
        <w:rPr>
          <w:rFonts w:hint="eastAsia" w:ascii="宋体" w:hAnsi="宋体" w:cs="宋体"/>
          <w:color w:val="auto"/>
          <w:sz w:val="33"/>
          <w:highlight w:val="none"/>
        </w:rPr>
        <w:fldChar w:fldCharType="separate"/>
      </w:r>
      <w:r>
        <w:rPr>
          <w:color w:val="auto"/>
          <w:highlight w:val="none"/>
        </w:rPr>
        <w:fldChar w:fldCharType="begin"/>
      </w:r>
      <w:r>
        <w:rPr>
          <w:color w:val="auto"/>
          <w:highlight w:val="none"/>
        </w:rPr>
        <w:instrText xml:space="preserve"> HYPERLINK \l "_Toc491780521" </w:instrText>
      </w:r>
      <w:r>
        <w:rPr>
          <w:color w:val="auto"/>
          <w:highlight w:val="none"/>
        </w:rPr>
        <w:fldChar w:fldCharType="separate"/>
      </w:r>
      <w:r>
        <w:rPr>
          <w:rFonts w:hint="eastAsia" w:ascii="宋体" w:hAnsi="宋体" w:cs="宋体"/>
          <w:color w:val="auto"/>
          <w:szCs w:val="21"/>
          <w:highlight w:val="none"/>
        </w:rPr>
        <w:t>温州快鹿集团公司关于快鹿集团安保服务采购项目的采购公告</w:t>
      </w:r>
      <w:r>
        <w:rPr>
          <w:rFonts w:hint="eastAsia" w:ascii="宋体" w:hAnsi="宋体" w:cs="宋体"/>
          <w:color w:val="auto"/>
          <w:szCs w:val="21"/>
          <w:highlight w:val="none"/>
        </w:rPr>
        <w:tab/>
      </w:r>
      <w:r>
        <w:rPr>
          <w:rFonts w:hint="eastAsia" w:ascii="宋体" w:hAnsi="宋体" w:cs="宋体"/>
          <w:color w:val="auto"/>
          <w:szCs w:val="21"/>
          <w:highlight w:val="none"/>
        </w:rPr>
        <w:fldChar w:fldCharType="end"/>
      </w:r>
      <w:r>
        <w:rPr>
          <w:rFonts w:hint="eastAsia" w:ascii="宋体" w:hAnsi="宋体" w:cs="宋体"/>
          <w:color w:val="auto"/>
          <w:szCs w:val="21"/>
          <w:highlight w:val="none"/>
        </w:rPr>
        <w:t>2</w:t>
      </w:r>
    </w:p>
    <w:p>
      <w:pPr>
        <w:pStyle w:val="20"/>
        <w:rPr>
          <w:rFonts w:ascii="宋体" w:hAnsi="宋体" w:cs="宋体"/>
          <w:color w:val="auto"/>
          <w:szCs w:val="22"/>
          <w:highlight w:val="none"/>
        </w:rPr>
      </w:pPr>
      <w:r>
        <w:rPr>
          <w:color w:val="auto"/>
          <w:highlight w:val="none"/>
        </w:rPr>
        <w:fldChar w:fldCharType="begin"/>
      </w:r>
      <w:r>
        <w:rPr>
          <w:color w:val="auto"/>
          <w:highlight w:val="none"/>
        </w:rPr>
        <w:instrText xml:space="preserve"> HYPERLINK \l "_Toc491780522" </w:instrText>
      </w:r>
      <w:r>
        <w:rPr>
          <w:color w:val="auto"/>
          <w:highlight w:val="none"/>
        </w:rPr>
        <w:fldChar w:fldCharType="separate"/>
      </w:r>
      <w:r>
        <w:rPr>
          <w:rFonts w:hint="eastAsia" w:ascii="宋体" w:hAnsi="宋体" w:cs="宋体"/>
          <w:color w:val="auto"/>
          <w:highlight w:val="none"/>
        </w:rPr>
        <w:t>温州快鹿集团公司关于快鹿集团安保服务采购项目征求意见公示</w:t>
      </w:r>
      <w:r>
        <w:rPr>
          <w:rFonts w:hint="eastAsia" w:ascii="宋体" w:hAnsi="宋体" w:cs="宋体"/>
          <w:color w:val="auto"/>
          <w:highlight w:val="none"/>
        </w:rPr>
        <w:tab/>
      </w:r>
      <w:r>
        <w:rPr>
          <w:rFonts w:hint="eastAsia" w:ascii="宋体" w:hAnsi="宋体" w:cs="宋体"/>
          <w:color w:val="auto"/>
          <w:highlight w:val="none"/>
        </w:rPr>
        <w:t>4</w:t>
      </w:r>
      <w:r>
        <w:rPr>
          <w:rFonts w:hint="eastAsia" w:ascii="宋体" w:hAnsi="宋体" w:cs="宋体"/>
          <w:color w:val="auto"/>
          <w:highlight w:val="none"/>
        </w:rPr>
        <w:fldChar w:fldCharType="end"/>
      </w:r>
    </w:p>
    <w:p>
      <w:pPr>
        <w:pStyle w:val="20"/>
        <w:rPr>
          <w:rFonts w:ascii="宋体" w:hAnsi="宋体" w:cs="宋体"/>
          <w:color w:val="auto"/>
          <w:szCs w:val="22"/>
          <w:highlight w:val="none"/>
        </w:rPr>
      </w:pPr>
      <w:r>
        <w:rPr>
          <w:color w:val="auto"/>
          <w:highlight w:val="none"/>
        </w:rPr>
        <w:fldChar w:fldCharType="begin"/>
      </w:r>
      <w:r>
        <w:rPr>
          <w:color w:val="auto"/>
          <w:highlight w:val="none"/>
        </w:rPr>
        <w:instrText xml:space="preserve"> HYPERLINK \l "_Toc491780523" </w:instrText>
      </w:r>
      <w:r>
        <w:rPr>
          <w:color w:val="auto"/>
          <w:highlight w:val="none"/>
        </w:rPr>
        <w:fldChar w:fldCharType="separate"/>
      </w:r>
      <w:r>
        <w:rPr>
          <w:rStyle w:val="25"/>
          <w:rFonts w:hint="eastAsia" w:ascii="宋体" w:hAnsi="宋体" w:cs="宋体"/>
          <w:color w:val="auto"/>
          <w:highlight w:val="none"/>
        </w:rPr>
        <w:t>第一部分 投标人须知</w:t>
      </w:r>
      <w:r>
        <w:rPr>
          <w:rFonts w:hint="eastAsia" w:ascii="宋体" w:hAnsi="宋体" w:cs="宋体"/>
          <w:color w:val="auto"/>
          <w:highlight w:val="none"/>
        </w:rPr>
        <w:tab/>
      </w:r>
      <w:r>
        <w:rPr>
          <w:rFonts w:hint="eastAsia" w:ascii="宋体" w:hAnsi="宋体" w:cs="宋体"/>
          <w:color w:val="auto"/>
          <w:highlight w:val="none"/>
        </w:rPr>
        <w:fldChar w:fldCharType="end"/>
      </w:r>
      <w:r>
        <w:rPr>
          <w:rFonts w:hint="eastAsia" w:ascii="宋体" w:hAnsi="宋体" w:cs="宋体"/>
          <w:color w:val="auto"/>
          <w:highlight w:val="none"/>
        </w:rPr>
        <w:t>5</w:t>
      </w:r>
    </w:p>
    <w:p>
      <w:pPr>
        <w:pStyle w:val="20"/>
        <w:rPr>
          <w:rFonts w:ascii="宋体" w:hAnsi="宋体" w:cs="宋体"/>
          <w:color w:val="auto"/>
          <w:szCs w:val="22"/>
          <w:highlight w:val="none"/>
        </w:rPr>
      </w:pPr>
      <w:r>
        <w:rPr>
          <w:color w:val="auto"/>
          <w:highlight w:val="none"/>
        </w:rPr>
        <w:fldChar w:fldCharType="begin"/>
      </w:r>
      <w:r>
        <w:rPr>
          <w:color w:val="auto"/>
          <w:highlight w:val="none"/>
        </w:rPr>
        <w:instrText xml:space="preserve"> HYPERLINK \l "_Toc491780524" </w:instrText>
      </w:r>
      <w:r>
        <w:rPr>
          <w:color w:val="auto"/>
          <w:highlight w:val="none"/>
        </w:rPr>
        <w:fldChar w:fldCharType="separate"/>
      </w:r>
      <w:r>
        <w:rPr>
          <w:rStyle w:val="25"/>
          <w:rFonts w:hint="eastAsia" w:ascii="宋体" w:hAnsi="宋体" w:cs="宋体"/>
          <w:color w:val="auto"/>
          <w:highlight w:val="none"/>
        </w:rPr>
        <w:t>第二部分 合同主要条款</w:t>
      </w:r>
      <w:r>
        <w:rPr>
          <w:rFonts w:hint="eastAsia" w:ascii="宋体" w:hAnsi="宋体" w:cs="宋体"/>
          <w:color w:val="auto"/>
          <w:highlight w:val="none"/>
        </w:rPr>
        <w:tab/>
      </w:r>
      <w:r>
        <w:rPr>
          <w:rFonts w:hint="eastAsia" w:ascii="宋体" w:hAnsi="宋体" w:cs="宋体"/>
          <w:color w:val="auto"/>
          <w:highlight w:val="none"/>
        </w:rPr>
        <w:fldChar w:fldCharType="end"/>
      </w:r>
      <w:r>
        <w:rPr>
          <w:rFonts w:hint="eastAsia" w:ascii="宋体" w:hAnsi="宋体" w:cs="宋体"/>
          <w:color w:val="auto"/>
          <w:highlight w:val="none"/>
        </w:rPr>
        <w:t>14</w:t>
      </w:r>
    </w:p>
    <w:p>
      <w:pPr>
        <w:pStyle w:val="20"/>
        <w:rPr>
          <w:rFonts w:ascii="宋体" w:hAnsi="宋体" w:cs="宋体"/>
          <w:color w:val="auto"/>
          <w:szCs w:val="22"/>
          <w:highlight w:val="none"/>
        </w:rPr>
      </w:pPr>
      <w:r>
        <w:rPr>
          <w:color w:val="auto"/>
          <w:highlight w:val="none"/>
        </w:rPr>
        <w:fldChar w:fldCharType="begin"/>
      </w:r>
      <w:r>
        <w:rPr>
          <w:color w:val="auto"/>
          <w:highlight w:val="none"/>
        </w:rPr>
        <w:instrText xml:space="preserve"> HYPERLINK \l "_Toc491780525" </w:instrText>
      </w:r>
      <w:r>
        <w:rPr>
          <w:color w:val="auto"/>
          <w:highlight w:val="none"/>
        </w:rPr>
        <w:fldChar w:fldCharType="separate"/>
      </w:r>
      <w:r>
        <w:rPr>
          <w:rStyle w:val="25"/>
          <w:rFonts w:hint="eastAsia" w:ascii="宋体" w:hAnsi="宋体" w:cs="宋体"/>
          <w:color w:val="auto"/>
          <w:highlight w:val="none"/>
        </w:rPr>
        <w:t>第三部分 投标文件的编制格式</w:t>
      </w:r>
      <w:r>
        <w:rPr>
          <w:rFonts w:hint="eastAsia" w:ascii="宋体" w:hAnsi="宋体" w:cs="宋体"/>
          <w:color w:val="auto"/>
          <w:highlight w:val="none"/>
        </w:rPr>
        <w:tab/>
      </w:r>
      <w:r>
        <w:rPr>
          <w:rFonts w:hint="eastAsia" w:ascii="宋体" w:hAnsi="宋体" w:cs="宋体"/>
          <w:color w:val="auto"/>
          <w:highlight w:val="none"/>
        </w:rPr>
        <w:fldChar w:fldCharType="end"/>
      </w:r>
      <w:r>
        <w:rPr>
          <w:rFonts w:hint="eastAsia" w:ascii="宋体" w:hAnsi="宋体" w:cs="宋体"/>
          <w:color w:val="auto"/>
          <w:highlight w:val="none"/>
        </w:rPr>
        <w:t>22</w:t>
      </w:r>
    </w:p>
    <w:p>
      <w:pPr>
        <w:pStyle w:val="20"/>
        <w:rPr>
          <w:rFonts w:ascii="宋体" w:hAnsi="宋体" w:cs="宋体"/>
          <w:color w:val="auto"/>
          <w:szCs w:val="22"/>
          <w:highlight w:val="none"/>
        </w:rPr>
      </w:pPr>
      <w:r>
        <w:rPr>
          <w:color w:val="auto"/>
          <w:highlight w:val="none"/>
        </w:rPr>
        <w:fldChar w:fldCharType="begin"/>
      </w:r>
      <w:r>
        <w:rPr>
          <w:color w:val="auto"/>
          <w:highlight w:val="none"/>
        </w:rPr>
        <w:instrText xml:space="preserve"> HYPERLINK \l "_Toc491780526" </w:instrText>
      </w:r>
      <w:r>
        <w:rPr>
          <w:color w:val="auto"/>
          <w:highlight w:val="none"/>
        </w:rPr>
        <w:fldChar w:fldCharType="separate"/>
      </w:r>
      <w:r>
        <w:rPr>
          <w:rStyle w:val="25"/>
          <w:rFonts w:hint="eastAsia" w:ascii="宋体" w:hAnsi="宋体" w:cs="宋体"/>
          <w:color w:val="auto"/>
          <w:highlight w:val="none"/>
        </w:rPr>
        <w:t>第四部分 采购内</w:t>
      </w:r>
      <w:bookmarkStart w:id="0" w:name="_Hlt491780538"/>
      <w:r>
        <w:rPr>
          <w:rStyle w:val="25"/>
          <w:rFonts w:hint="eastAsia" w:ascii="宋体" w:hAnsi="宋体" w:cs="宋体"/>
          <w:color w:val="auto"/>
          <w:highlight w:val="none"/>
        </w:rPr>
        <w:t>容</w:t>
      </w:r>
      <w:bookmarkEnd w:id="0"/>
      <w:r>
        <w:rPr>
          <w:rStyle w:val="25"/>
          <w:rFonts w:hint="eastAsia" w:ascii="宋体" w:hAnsi="宋体" w:cs="宋体"/>
          <w:color w:val="auto"/>
          <w:highlight w:val="none"/>
        </w:rPr>
        <w:t>及要求</w:t>
      </w:r>
      <w:r>
        <w:rPr>
          <w:rFonts w:hint="eastAsia" w:ascii="宋体" w:hAnsi="宋体" w:cs="宋体"/>
          <w:color w:val="auto"/>
          <w:highlight w:val="none"/>
        </w:rPr>
        <w:tab/>
      </w:r>
      <w:r>
        <w:rPr>
          <w:rFonts w:hint="eastAsia" w:ascii="宋体" w:hAnsi="宋体" w:cs="宋体"/>
          <w:color w:val="auto"/>
          <w:highlight w:val="none"/>
        </w:rPr>
        <w:fldChar w:fldCharType="end"/>
      </w:r>
      <w:r>
        <w:rPr>
          <w:rFonts w:hint="eastAsia" w:ascii="宋体" w:hAnsi="宋体" w:cs="宋体"/>
          <w:color w:val="auto"/>
          <w:highlight w:val="none"/>
        </w:rPr>
        <w:t>38</w:t>
      </w:r>
    </w:p>
    <w:p>
      <w:pPr>
        <w:pStyle w:val="20"/>
        <w:rPr>
          <w:rFonts w:ascii="宋体" w:hAnsi="宋体" w:cs="宋体"/>
          <w:color w:val="auto"/>
          <w:szCs w:val="22"/>
          <w:highlight w:val="none"/>
        </w:rPr>
      </w:pPr>
      <w:r>
        <w:rPr>
          <w:color w:val="auto"/>
          <w:highlight w:val="none"/>
        </w:rPr>
        <w:fldChar w:fldCharType="begin"/>
      </w:r>
      <w:r>
        <w:rPr>
          <w:color w:val="auto"/>
          <w:highlight w:val="none"/>
        </w:rPr>
        <w:instrText xml:space="preserve"> HYPERLINK \l "_Toc491780527" </w:instrText>
      </w:r>
      <w:r>
        <w:rPr>
          <w:color w:val="auto"/>
          <w:highlight w:val="none"/>
        </w:rPr>
        <w:fldChar w:fldCharType="separate"/>
      </w:r>
      <w:r>
        <w:rPr>
          <w:rStyle w:val="25"/>
          <w:rFonts w:hint="eastAsia" w:ascii="宋体" w:hAnsi="宋体" w:cs="宋体"/>
          <w:color w:val="auto"/>
          <w:highlight w:val="none"/>
        </w:rPr>
        <w:t>第五部分 评标原则及方法</w:t>
      </w:r>
      <w:r>
        <w:rPr>
          <w:rFonts w:hint="eastAsia" w:ascii="宋体" w:hAnsi="宋体" w:cs="宋体"/>
          <w:color w:val="auto"/>
          <w:highlight w:val="none"/>
        </w:rPr>
        <w:tab/>
      </w:r>
      <w:r>
        <w:rPr>
          <w:rFonts w:hint="eastAsia" w:ascii="宋体" w:hAnsi="宋体" w:cs="宋体"/>
          <w:color w:val="auto"/>
          <w:highlight w:val="none"/>
        </w:rPr>
        <w:fldChar w:fldCharType="end"/>
      </w:r>
      <w:r>
        <w:rPr>
          <w:rFonts w:hint="eastAsia" w:ascii="宋体" w:hAnsi="宋体" w:cs="宋体"/>
          <w:color w:val="auto"/>
          <w:highlight w:val="none"/>
        </w:rPr>
        <w:t>42</w:t>
      </w:r>
    </w:p>
    <w:p>
      <w:pPr>
        <w:pStyle w:val="20"/>
        <w:spacing w:line="360" w:lineRule="auto"/>
        <w:jc w:val="left"/>
        <w:rPr>
          <w:rFonts w:ascii="宋体" w:hAnsi="宋体" w:cs="宋体"/>
          <w:b/>
          <w:bCs/>
          <w:color w:val="auto"/>
          <w:sz w:val="24"/>
          <w:szCs w:val="28"/>
          <w:highlight w:val="none"/>
        </w:rPr>
      </w:pPr>
      <w:r>
        <w:rPr>
          <w:rFonts w:hint="eastAsia" w:ascii="宋体" w:hAnsi="宋体" w:cs="宋体"/>
          <w:color w:val="auto"/>
          <w:sz w:val="33"/>
          <w:highlight w:val="none"/>
        </w:rPr>
        <w:fldChar w:fldCharType="end"/>
      </w:r>
      <w:r>
        <w:rPr>
          <w:rFonts w:hint="eastAsia" w:ascii="宋体" w:hAnsi="宋体" w:cs="宋体"/>
          <w:b/>
          <w:bCs/>
          <w:color w:val="auto"/>
          <w:sz w:val="24"/>
          <w:szCs w:val="28"/>
          <w:highlight w:val="none"/>
        </w:rPr>
        <w:t>注：本采购文件中加“▲”并加下划线的条款，为采购文件的实质性要求和条件（不响应“▲”条款的作无效标处理），着重提醒各投标人注意，并认真查看采购文件中的每一个条款及要求，因误读采购文件而造成的后果，采购人概不负责。</w:t>
      </w:r>
      <w:bookmarkStart w:id="1" w:name="_Toc491780521"/>
    </w:p>
    <w:p>
      <w:pPr>
        <w:pStyle w:val="20"/>
        <w:spacing w:line="360" w:lineRule="auto"/>
        <w:jc w:val="center"/>
        <w:rPr>
          <w:ins w:id="3" w:author="张弓达" w:date="2021-09-07T15:19:43Z"/>
          <w:rFonts w:hint="eastAsia" w:ascii="宋体" w:hAnsi="宋体" w:cs="宋体"/>
          <w:b/>
          <w:bCs/>
          <w:color w:val="auto"/>
          <w:sz w:val="32"/>
          <w:szCs w:val="32"/>
          <w:highlight w:val="none"/>
          <w:lang w:eastAsia="zh-CN"/>
        </w:rPr>
      </w:pPr>
      <w:r>
        <w:rPr>
          <w:rFonts w:hint="eastAsia" w:ascii="宋体" w:hAnsi="宋体" w:cs="宋体"/>
          <w:color w:val="auto"/>
          <w:sz w:val="24"/>
          <w:highlight w:val="none"/>
        </w:rPr>
        <w:br w:type="page"/>
      </w:r>
      <w:bookmarkEnd w:id="1"/>
      <w:ins w:id="4" w:author="水淼淼" w:date="2021-09-07T15:12:32Z">
        <w:r>
          <w:rPr>
            <w:rFonts w:hint="eastAsia" w:ascii="宋体" w:hAnsi="宋体" w:cs="宋体"/>
            <w:b/>
            <w:bCs/>
            <w:color w:val="auto"/>
            <w:sz w:val="32"/>
            <w:szCs w:val="32"/>
            <w:highlight w:val="none"/>
          </w:rPr>
          <w:t>温州市工业与能源集团</w:t>
        </w:r>
      </w:ins>
      <w:ins w:id="5" w:author="水淼淼" w:date="2021-09-07T15:12:32Z">
        <w:del w:id="6" w:author="张弓达" w:date="2021-09-07T15:18:27Z">
          <w:r>
            <w:rPr>
              <w:rFonts w:hint="eastAsia" w:ascii="宋体" w:hAnsi="宋体" w:cs="宋体"/>
              <w:b/>
              <w:bCs/>
              <w:color w:val="auto"/>
              <w:sz w:val="32"/>
              <w:szCs w:val="32"/>
              <w:highlight w:val="none"/>
            </w:rPr>
            <w:delText>温州快鹿集团公司</w:delText>
          </w:r>
        </w:del>
      </w:ins>
      <w:del w:id="7" w:author="水淼淼" w:date="2021-09-07T15:12:32Z">
        <w:r>
          <w:rPr>
            <w:rFonts w:hint="eastAsia" w:ascii="宋体" w:hAnsi="宋体" w:cs="宋体"/>
            <w:b/>
            <w:bCs/>
            <w:color w:val="auto"/>
            <w:sz w:val="32"/>
            <w:szCs w:val="32"/>
            <w:highlight w:val="none"/>
          </w:rPr>
          <w:delText>温州</w:delText>
        </w:r>
      </w:del>
      <w:del w:id="8" w:author="水淼淼" w:date="2021-09-07T15:12:32Z">
        <w:r>
          <w:rPr>
            <w:rFonts w:hint="eastAsia" w:ascii="宋体" w:hAnsi="宋体" w:cs="宋体"/>
            <w:b/>
            <w:bCs/>
            <w:color w:val="auto"/>
            <w:sz w:val="32"/>
            <w:szCs w:val="32"/>
            <w:highlight w:val="none"/>
            <w:lang w:val="en-US"/>
          </w:rPr>
          <w:delText>快鹿集团公司</w:delText>
        </w:r>
      </w:del>
      <w:r>
        <w:rPr>
          <w:rFonts w:hint="eastAsia" w:ascii="宋体" w:hAnsi="宋体" w:cs="宋体"/>
          <w:b/>
          <w:bCs/>
          <w:color w:val="auto"/>
          <w:sz w:val="32"/>
          <w:szCs w:val="32"/>
          <w:highlight w:val="none"/>
        </w:rPr>
        <w:t>关于快鹿集团安保服务</w:t>
      </w:r>
      <w:del w:id="9" w:author="张弓达" w:date="2021-09-07T15:19:32Z">
        <w:r>
          <w:rPr>
            <w:rFonts w:hint="eastAsia" w:ascii="宋体" w:hAnsi="宋体" w:cs="宋体"/>
            <w:b/>
            <w:bCs/>
            <w:color w:val="auto"/>
            <w:sz w:val="32"/>
            <w:szCs w:val="32"/>
            <w:highlight w:val="none"/>
          </w:rPr>
          <w:delText>采购</w:delText>
        </w:r>
      </w:del>
      <w:r>
        <w:rPr>
          <w:rFonts w:hint="eastAsia" w:ascii="宋体" w:hAnsi="宋体" w:cs="宋体"/>
          <w:b/>
          <w:bCs/>
          <w:color w:val="auto"/>
          <w:sz w:val="32"/>
          <w:szCs w:val="32"/>
          <w:highlight w:val="none"/>
        </w:rPr>
        <w:t>项目</w:t>
      </w:r>
      <w:ins w:id="10" w:author="水淼淼" w:date="2021-09-07T15:10:28Z">
        <w:r>
          <w:rPr>
            <w:rFonts w:hint="eastAsia" w:ascii="宋体" w:hAnsi="宋体" w:cs="宋体"/>
            <w:b/>
            <w:bCs/>
            <w:color w:val="auto"/>
            <w:sz w:val="32"/>
            <w:szCs w:val="32"/>
            <w:highlight w:val="none"/>
            <w:lang w:eastAsia="zh-CN"/>
          </w:rPr>
          <w:t>（</w:t>
        </w:r>
      </w:ins>
      <w:ins w:id="11" w:author="水淼淼" w:date="2021-09-07T15:10:30Z">
        <w:r>
          <w:rPr>
            <w:rFonts w:hint="eastAsia" w:ascii="宋体" w:hAnsi="宋体" w:cs="宋体"/>
            <w:b/>
            <w:bCs/>
            <w:color w:val="auto"/>
            <w:sz w:val="32"/>
            <w:szCs w:val="32"/>
            <w:highlight w:val="none"/>
            <w:lang w:val="en-US" w:eastAsia="zh-CN"/>
          </w:rPr>
          <w:t>自主</w:t>
        </w:r>
      </w:ins>
      <w:ins w:id="12" w:author="水淼淼" w:date="2021-09-07T15:10:28Z">
        <w:r>
          <w:rPr>
            <w:rFonts w:hint="eastAsia" w:ascii="宋体" w:hAnsi="宋体" w:cs="宋体"/>
            <w:b/>
            <w:bCs/>
            <w:color w:val="auto"/>
            <w:sz w:val="32"/>
            <w:szCs w:val="32"/>
            <w:highlight w:val="none"/>
            <w:lang w:eastAsia="zh-CN"/>
          </w:rPr>
          <w:t>）</w:t>
        </w:r>
      </w:ins>
    </w:p>
    <w:p>
      <w:pPr>
        <w:pStyle w:val="20"/>
        <w:spacing w:line="360" w:lineRule="auto"/>
        <w:jc w:val="center"/>
        <w:rPr>
          <w:rFonts w:ascii="宋体" w:hAnsi="宋体" w:cs="宋体"/>
          <w:color w:val="auto"/>
          <w:sz w:val="22"/>
          <w:szCs w:val="22"/>
          <w:highlight w:val="none"/>
        </w:rPr>
      </w:pPr>
      <w:r>
        <w:rPr>
          <w:rFonts w:hint="eastAsia" w:ascii="宋体" w:hAnsi="宋体" w:cs="宋体"/>
          <w:b/>
          <w:bCs/>
          <w:color w:val="auto"/>
          <w:sz w:val="32"/>
          <w:szCs w:val="32"/>
          <w:highlight w:val="none"/>
        </w:rPr>
        <w:t>的采购公告</w:t>
      </w:r>
    </w:p>
    <w:p>
      <w:pPr>
        <w:widowControl/>
        <w:ind w:right="60"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根据《温州市市属国有企业采购管理办法（试行）》等有关规定，浙江信诚项目管理有限公司受温州快鹿集团公司的委托，就快鹿集团安保服务采购项目以公开招标方式进行国企采购，欢迎国内合格的投标人前来投标。</w:t>
      </w:r>
    </w:p>
    <w:p>
      <w:pPr>
        <w:widowControl/>
        <w:ind w:right="60"/>
        <w:jc w:val="left"/>
        <w:rPr>
          <w:rFonts w:ascii="宋体" w:hAnsi="宋体" w:cs="宋体"/>
          <w:bCs/>
          <w:color w:val="auto"/>
          <w:kern w:val="0"/>
          <w:sz w:val="22"/>
          <w:szCs w:val="22"/>
          <w:highlight w:val="none"/>
        </w:rPr>
      </w:pPr>
      <w:r>
        <w:rPr>
          <w:rFonts w:hint="eastAsia" w:ascii="宋体" w:hAnsi="宋体" w:cs="宋体"/>
          <w:b/>
          <w:color w:val="auto"/>
          <w:kern w:val="0"/>
          <w:sz w:val="22"/>
          <w:szCs w:val="22"/>
          <w:highlight w:val="none"/>
        </w:rPr>
        <w:t>一、公告类型：</w:t>
      </w:r>
      <w:r>
        <w:rPr>
          <w:rFonts w:hint="eastAsia" w:ascii="宋体" w:hAnsi="宋体" w:cs="宋体"/>
          <w:bCs/>
          <w:color w:val="auto"/>
          <w:kern w:val="0"/>
          <w:sz w:val="22"/>
          <w:szCs w:val="22"/>
          <w:highlight w:val="none"/>
        </w:rPr>
        <w:t>采购公告</w:t>
      </w:r>
    </w:p>
    <w:p>
      <w:pPr>
        <w:widowControl/>
        <w:ind w:right="60"/>
        <w:jc w:val="left"/>
        <w:rPr>
          <w:rFonts w:ascii="宋体" w:hAnsi="宋体" w:cs="宋体"/>
          <w:bCs/>
          <w:color w:val="auto"/>
          <w:kern w:val="0"/>
          <w:sz w:val="22"/>
          <w:szCs w:val="22"/>
          <w:highlight w:val="none"/>
        </w:rPr>
      </w:pPr>
      <w:r>
        <w:rPr>
          <w:rFonts w:hint="eastAsia" w:ascii="宋体" w:hAnsi="宋体" w:cs="宋体"/>
          <w:b/>
          <w:color w:val="auto"/>
          <w:kern w:val="0"/>
          <w:sz w:val="22"/>
          <w:szCs w:val="22"/>
          <w:highlight w:val="none"/>
        </w:rPr>
        <w:t>二、采购方式：</w:t>
      </w:r>
      <w:r>
        <w:rPr>
          <w:rFonts w:hint="eastAsia" w:ascii="宋体" w:hAnsi="宋体" w:cs="宋体"/>
          <w:bCs/>
          <w:color w:val="auto"/>
          <w:kern w:val="0"/>
          <w:sz w:val="22"/>
          <w:szCs w:val="22"/>
          <w:highlight w:val="none"/>
        </w:rPr>
        <w:t>公开招标</w:t>
      </w:r>
    </w:p>
    <w:p>
      <w:pPr>
        <w:widowControl/>
        <w:ind w:right="60"/>
        <w:jc w:val="left"/>
        <w:rPr>
          <w:rFonts w:ascii="宋体" w:hAnsi="宋体" w:cs="宋体"/>
          <w:bCs/>
          <w:color w:val="auto"/>
          <w:kern w:val="0"/>
          <w:sz w:val="22"/>
          <w:szCs w:val="22"/>
          <w:highlight w:val="none"/>
        </w:rPr>
      </w:pPr>
      <w:r>
        <w:rPr>
          <w:rFonts w:hint="eastAsia" w:ascii="宋体" w:hAnsi="宋体" w:cs="宋体"/>
          <w:b/>
          <w:color w:val="auto"/>
          <w:kern w:val="0"/>
          <w:sz w:val="22"/>
          <w:szCs w:val="22"/>
          <w:highlight w:val="none"/>
        </w:rPr>
        <w:t>三、项目编号：</w:t>
      </w:r>
      <w:ins w:id="13" w:author="水淼淼" w:date="2021-09-07T14:55:54Z">
        <w:r>
          <w:rPr>
            <w:rFonts w:hint="eastAsia" w:ascii="宋体" w:hAnsi="宋体" w:cs="宋体"/>
            <w:bCs/>
            <w:color w:val="auto"/>
            <w:kern w:val="0"/>
            <w:sz w:val="22"/>
            <w:szCs w:val="22"/>
            <w:highlight w:val="none"/>
          </w:rPr>
          <w:t>GYJT-2021-14</w:t>
        </w:r>
      </w:ins>
      <w:del w:id="14" w:author="水淼淼" w:date="2021-09-07T14:55:54Z">
        <w:r>
          <w:rPr>
            <w:rFonts w:hint="eastAsia" w:ascii="宋体" w:hAnsi="宋体" w:cs="宋体"/>
            <w:bCs/>
            <w:color w:val="auto"/>
            <w:kern w:val="0"/>
            <w:sz w:val="22"/>
            <w:szCs w:val="22"/>
            <w:highlight w:val="none"/>
          </w:rPr>
          <w:delText>ZJXC-Q-LC2021090101</w:delText>
        </w:r>
      </w:del>
    </w:p>
    <w:p>
      <w:pPr>
        <w:widowControl/>
        <w:ind w:right="60"/>
        <w:jc w:val="left"/>
        <w:rPr>
          <w:rFonts w:ascii="宋体" w:hAnsi="宋体" w:cs="宋体"/>
          <w:bCs/>
          <w:color w:val="auto"/>
          <w:kern w:val="0"/>
          <w:sz w:val="22"/>
          <w:szCs w:val="22"/>
          <w:highlight w:val="none"/>
        </w:rPr>
      </w:pPr>
      <w:r>
        <w:rPr>
          <w:rFonts w:hint="eastAsia" w:ascii="宋体" w:hAnsi="宋体" w:cs="宋体"/>
          <w:b/>
          <w:color w:val="auto"/>
          <w:kern w:val="0"/>
          <w:sz w:val="22"/>
          <w:szCs w:val="22"/>
          <w:highlight w:val="none"/>
        </w:rPr>
        <w:t>四、项目名称：</w:t>
      </w:r>
      <w:r>
        <w:rPr>
          <w:rFonts w:hint="eastAsia" w:ascii="宋体" w:hAnsi="宋体" w:cs="宋体"/>
          <w:bCs/>
          <w:color w:val="auto"/>
          <w:kern w:val="0"/>
          <w:sz w:val="22"/>
          <w:szCs w:val="22"/>
          <w:highlight w:val="none"/>
        </w:rPr>
        <w:t>快鹿集团安保服务采购</w:t>
      </w:r>
    </w:p>
    <w:p>
      <w:pPr>
        <w:widowControl/>
        <w:ind w:right="60"/>
        <w:jc w:val="left"/>
        <w:rPr>
          <w:rFonts w:ascii="宋体" w:hAnsi="宋体" w:cs="宋体"/>
          <w:bCs/>
          <w:color w:val="auto"/>
          <w:kern w:val="0"/>
          <w:sz w:val="22"/>
          <w:szCs w:val="22"/>
          <w:highlight w:val="none"/>
        </w:rPr>
      </w:pPr>
      <w:r>
        <w:rPr>
          <w:rFonts w:hint="eastAsia" w:ascii="宋体" w:hAnsi="宋体" w:cs="宋体"/>
          <w:b/>
          <w:color w:val="auto"/>
          <w:kern w:val="0"/>
          <w:sz w:val="22"/>
          <w:szCs w:val="22"/>
          <w:highlight w:val="none"/>
        </w:rPr>
        <w:t>五、采购性质：</w:t>
      </w:r>
      <w:r>
        <w:rPr>
          <w:rFonts w:hint="eastAsia" w:ascii="宋体" w:hAnsi="宋体" w:cs="宋体"/>
          <w:bCs/>
          <w:color w:val="auto"/>
          <w:kern w:val="0"/>
          <w:sz w:val="22"/>
          <w:szCs w:val="22"/>
          <w:highlight w:val="none"/>
        </w:rPr>
        <w:t>国企采购（非政府采购）</w:t>
      </w:r>
    </w:p>
    <w:p>
      <w:pPr>
        <w:widowControl/>
        <w:ind w:right="60"/>
        <w:jc w:val="left"/>
        <w:rPr>
          <w:rFonts w:ascii="宋体" w:hAnsi="宋体" w:cs="宋体"/>
          <w:bCs/>
          <w:color w:val="auto"/>
          <w:kern w:val="0"/>
          <w:sz w:val="22"/>
          <w:szCs w:val="22"/>
          <w:highlight w:val="none"/>
        </w:rPr>
      </w:pPr>
      <w:r>
        <w:rPr>
          <w:rFonts w:hint="eastAsia" w:ascii="宋体" w:hAnsi="宋体" w:cs="宋体"/>
          <w:b/>
          <w:color w:val="auto"/>
          <w:kern w:val="0"/>
          <w:sz w:val="22"/>
          <w:szCs w:val="22"/>
          <w:highlight w:val="none"/>
        </w:rPr>
        <w:t>六、预算金额：</w:t>
      </w:r>
      <w:r>
        <w:rPr>
          <w:rFonts w:hint="eastAsia" w:ascii="宋体" w:hAnsi="宋体" w:cs="宋体"/>
          <w:bCs/>
          <w:color w:val="auto"/>
          <w:kern w:val="0"/>
          <w:sz w:val="22"/>
          <w:szCs w:val="22"/>
          <w:highlight w:val="none"/>
        </w:rPr>
        <w:t>75万元</w:t>
      </w:r>
    </w:p>
    <w:p>
      <w:pPr>
        <w:widowControl/>
        <w:ind w:right="60"/>
        <w:jc w:val="left"/>
        <w:rPr>
          <w:rFonts w:ascii="宋体" w:hAnsi="宋体" w:cs="宋体"/>
          <w:bCs/>
          <w:color w:val="auto"/>
          <w:kern w:val="0"/>
          <w:sz w:val="22"/>
          <w:szCs w:val="22"/>
          <w:highlight w:val="none"/>
        </w:rPr>
      </w:pPr>
      <w:r>
        <w:rPr>
          <w:rFonts w:hint="eastAsia" w:ascii="宋体" w:hAnsi="宋体" w:cs="宋体"/>
          <w:b/>
          <w:color w:val="auto"/>
          <w:kern w:val="0"/>
          <w:sz w:val="22"/>
          <w:szCs w:val="22"/>
          <w:highlight w:val="none"/>
        </w:rPr>
        <w:t>七、采购内容（具体采购内容及详细技术要求见采购文件相关部分）：</w:t>
      </w:r>
    </w:p>
    <w:p>
      <w:pPr>
        <w:widowControl/>
        <w:ind w:right="60" w:firstLine="440" w:firstLineChars="200"/>
        <w:jc w:val="left"/>
        <w:rPr>
          <w:rFonts w:ascii="宋体" w:hAnsi="宋体" w:cs="宋体"/>
          <w:color w:val="auto"/>
          <w:sz w:val="22"/>
          <w:szCs w:val="22"/>
          <w:highlight w:val="none"/>
        </w:rPr>
      </w:pPr>
      <w:r>
        <w:rPr>
          <w:rFonts w:hint="eastAsia" w:ascii="宋体" w:hAnsi="宋体" w:cs="宋体"/>
          <w:bCs/>
          <w:color w:val="auto"/>
          <w:kern w:val="0"/>
          <w:sz w:val="22"/>
          <w:szCs w:val="22"/>
          <w:highlight w:val="none"/>
        </w:rPr>
        <w:t>温州快鹿集团公司安保外包服务，</w:t>
      </w:r>
      <w:r>
        <w:rPr>
          <w:rFonts w:hint="eastAsia" w:ascii="宋体" w:hAnsi="宋体" w:cs="宋体"/>
          <w:color w:val="auto"/>
          <w:sz w:val="22"/>
          <w:szCs w:val="22"/>
          <w:highlight w:val="none"/>
        </w:rPr>
        <w:t>具体采购内容及详细技术要求见采购文件相关部分。</w:t>
      </w:r>
    </w:p>
    <w:p>
      <w:pPr>
        <w:widowControl/>
        <w:ind w:right="60"/>
        <w:jc w:val="left"/>
        <w:rPr>
          <w:rFonts w:ascii="宋体" w:hAnsi="宋体" w:cs="宋体"/>
          <w:bCs/>
          <w:color w:val="auto"/>
          <w:kern w:val="0"/>
          <w:sz w:val="22"/>
          <w:szCs w:val="22"/>
          <w:highlight w:val="none"/>
        </w:rPr>
      </w:pPr>
      <w:bookmarkStart w:id="2" w:name="B09_招标内容"/>
      <w:bookmarkEnd w:id="2"/>
      <w:r>
        <w:rPr>
          <w:rFonts w:hint="eastAsia" w:ascii="宋体" w:hAnsi="宋体" w:cs="宋体"/>
          <w:b/>
          <w:color w:val="auto"/>
          <w:kern w:val="0"/>
          <w:sz w:val="22"/>
          <w:szCs w:val="22"/>
          <w:highlight w:val="none"/>
        </w:rPr>
        <w:t>八、投标人资格要求：</w:t>
      </w:r>
    </w:p>
    <w:p>
      <w:pPr>
        <w:pStyle w:val="8"/>
        <w:ind w:firstLine="440" w:firstLineChars="200"/>
        <w:rPr>
          <w:rFonts w:hint="eastAsia" w:ascii="宋体" w:hAnsi="宋体" w:cs="宋体"/>
          <w:color w:val="auto"/>
          <w:kern w:val="0"/>
          <w:sz w:val="22"/>
          <w:szCs w:val="22"/>
          <w:highlight w:val="none"/>
          <w:lang w:eastAsia="zh-CN"/>
        </w:rPr>
      </w:pPr>
      <w:r>
        <w:rPr>
          <w:rFonts w:hint="eastAsia" w:ascii="宋体" w:hAnsi="宋体" w:cs="宋体"/>
          <w:color w:val="auto"/>
          <w:kern w:val="0"/>
          <w:sz w:val="22"/>
          <w:szCs w:val="22"/>
          <w:highlight w:val="none"/>
        </w:rPr>
        <w:t>1、符合《温州市市属国有企业采购管理办法（试行）》第十五条对投标人参加国有企业采购活动应当具备的资格条件</w:t>
      </w:r>
      <w:r>
        <w:rPr>
          <w:rFonts w:hint="eastAsia" w:ascii="宋体" w:hAnsi="宋体" w:cs="宋体"/>
          <w:color w:val="auto"/>
          <w:kern w:val="0"/>
          <w:sz w:val="22"/>
          <w:szCs w:val="22"/>
          <w:highlight w:val="none"/>
          <w:lang w:eastAsia="zh-CN"/>
        </w:rPr>
        <w:t>：</w:t>
      </w:r>
    </w:p>
    <w:p>
      <w:pPr>
        <w:widowControl/>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（一）具有独立承担民事责任的能力；</w:t>
      </w:r>
    </w:p>
    <w:p>
      <w:pPr>
        <w:widowControl/>
        <w:ind w:firstLine="440" w:firstLineChars="200"/>
        <w:rPr>
          <w:rFonts w:hint="eastAsia" w:ascii="宋体" w:hAnsi="宋体" w:cs="宋体"/>
          <w:color w:val="auto"/>
          <w:kern w:val="0"/>
          <w:sz w:val="22"/>
          <w:szCs w:val="22"/>
          <w:highlight w:val="none"/>
        </w:rPr>
      </w:pPr>
    </w:p>
    <w:p>
      <w:pPr>
        <w:widowControl/>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（二）具有良好的商业信誉和健全的财务会计制度；</w:t>
      </w:r>
    </w:p>
    <w:p>
      <w:pPr>
        <w:widowControl/>
        <w:ind w:firstLine="440" w:firstLineChars="200"/>
        <w:rPr>
          <w:rFonts w:hint="eastAsia" w:ascii="宋体" w:hAnsi="宋体" w:cs="宋体"/>
          <w:color w:val="auto"/>
          <w:kern w:val="0"/>
          <w:sz w:val="22"/>
          <w:szCs w:val="22"/>
          <w:highlight w:val="none"/>
        </w:rPr>
      </w:pPr>
    </w:p>
    <w:p>
      <w:pPr>
        <w:widowControl/>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（三）具有履行合同所必需的设备和专业技术、售后保障等能力；</w:t>
      </w:r>
    </w:p>
    <w:p>
      <w:pPr>
        <w:widowControl/>
        <w:ind w:firstLine="440" w:firstLineChars="200"/>
        <w:rPr>
          <w:rFonts w:hint="eastAsia" w:ascii="宋体" w:hAnsi="宋体" w:cs="宋体"/>
          <w:color w:val="auto"/>
          <w:kern w:val="0"/>
          <w:sz w:val="22"/>
          <w:szCs w:val="22"/>
          <w:highlight w:val="none"/>
        </w:rPr>
      </w:pPr>
    </w:p>
    <w:p>
      <w:pPr>
        <w:widowControl/>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（四）有依法缴纳税收和社会保障资金的良好记录；</w:t>
      </w:r>
    </w:p>
    <w:p>
      <w:pPr>
        <w:widowControl/>
        <w:ind w:firstLine="440" w:firstLineChars="200"/>
        <w:rPr>
          <w:rFonts w:hint="eastAsia" w:ascii="宋体" w:hAnsi="宋体" w:cs="宋体"/>
          <w:color w:val="auto"/>
          <w:kern w:val="0"/>
          <w:sz w:val="22"/>
          <w:szCs w:val="22"/>
          <w:highlight w:val="none"/>
        </w:rPr>
      </w:pPr>
    </w:p>
    <w:p>
      <w:pPr>
        <w:widowControl/>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（五）参加采购、招投标等活动前三年内，在经营活动中没有重大违法记录、严重失信行为和行贿记录；</w:t>
      </w:r>
    </w:p>
    <w:p>
      <w:pPr>
        <w:widowControl/>
        <w:ind w:firstLine="440" w:firstLineChars="200"/>
        <w:rPr>
          <w:rFonts w:hint="eastAsia" w:ascii="宋体" w:hAnsi="宋体" w:cs="宋体"/>
          <w:color w:val="auto"/>
          <w:kern w:val="0"/>
          <w:sz w:val="22"/>
          <w:szCs w:val="22"/>
          <w:highlight w:val="none"/>
        </w:rPr>
      </w:pPr>
    </w:p>
    <w:p>
      <w:pPr>
        <w:widowControl/>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（六）法律、行政法规规定的其他条件。</w:t>
      </w:r>
    </w:p>
    <w:p>
      <w:pPr>
        <w:widowControl/>
        <w:ind w:firstLine="440" w:firstLineChars="200"/>
        <w:jc w:val="left"/>
        <w:rPr>
          <w:rFonts w:ascii="宋体" w:hAnsi="宋体" w:cs="宋体"/>
          <w:color w:val="auto"/>
          <w:kern w:val="0"/>
          <w:sz w:val="22"/>
          <w:szCs w:val="22"/>
          <w:highlight w:val="none"/>
        </w:rPr>
      </w:pPr>
    </w:p>
    <w:p>
      <w:pPr>
        <w:widowControl/>
        <w:ind w:firstLine="440" w:firstLineChars="200"/>
        <w:jc w:val="left"/>
        <w:rPr>
          <w:rFonts w:ascii="宋体" w:hAnsi="宋体" w:cs="宋体"/>
          <w:color w:val="auto"/>
          <w:sz w:val="22"/>
          <w:szCs w:val="22"/>
          <w:highlight w:val="none"/>
        </w:rPr>
      </w:pPr>
      <w:r>
        <w:rPr>
          <w:rFonts w:hint="eastAsia" w:ascii="宋体" w:hAnsi="宋体" w:cs="宋体"/>
          <w:color w:val="auto"/>
          <w:kern w:val="0"/>
          <w:sz w:val="22"/>
          <w:szCs w:val="22"/>
          <w:highlight w:val="none"/>
        </w:rPr>
        <w:t>2、投标人须在中国境内注册，具有独立法人资格；并具有公安部门颁发的有效的《保安服务许可证》；</w:t>
      </w:r>
    </w:p>
    <w:p>
      <w:pPr>
        <w:widowControl/>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3、截至投标截止日前，投标人未被列入“信用中国网”(</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宋体" w:hAnsi="宋体" w:cs="宋体"/>
          <w:color w:val="auto"/>
          <w:sz w:val="22"/>
          <w:szCs w:val="22"/>
          <w:highlight w:val="none"/>
        </w:rPr>
        <w:t>www.creditchina.gov.cn</w:t>
      </w:r>
      <w:r>
        <w:rPr>
          <w:rFonts w:hint="eastAsia" w:ascii="宋体" w:hAnsi="宋体" w:cs="宋体"/>
          <w:color w:val="auto"/>
          <w:sz w:val="22"/>
          <w:szCs w:val="22"/>
          <w:highlight w:val="none"/>
        </w:rPr>
        <w:fldChar w:fldCharType="end"/>
      </w:r>
      <w:r>
        <w:rPr>
          <w:rFonts w:hint="eastAsia" w:ascii="宋体" w:hAnsi="宋体" w:cs="宋体"/>
          <w:color w:val="auto"/>
          <w:sz w:val="22"/>
          <w:szCs w:val="22"/>
          <w:highlight w:val="none"/>
        </w:rPr>
        <w:t>)和“中国政府采购网”（www.ccgp.gov.cn）失信被执行人、重大税收违法案件当事人名单、政府采购严重违法失信行为记录名单且尚处于禁止参加政府采购活动期内；</w:t>
      </w:r>
    </w:p>
    <w:p>
      <w:pPr>
        <w:widowControl/>
        <w:ind w:firstLine="440" w:firstLineChars="200"/>
        <w:jc w:val="left"/>
        <w:rPr>
          <w:rFonts w:ascii="宋体" w:hAnsi="宋体" w:cs="宋体"/>
          <w:color w:val="auto"/>
          <w:kern w:val="0"/>
          <w:sz w:val="22"/>
          <w:szCs w:val="22"/>
          <w:highlight w:val="none"/>
        </w:rPr>
      </w:pPr>
      <w:r>
        <w:rPr>
          <w:rFonts w:hint="eastAsia" w:ascii="宋体" w:hAnsi="宋体" w:cs="宋体"/>
          <w:color w:val="auto"/>
          <w:sz w:val="22"/>
          <w:szCs w:val="22"/>
          <w:highlight w:val="none"/>
        </w:rPr>
        <w:t>4、</w:t>
      </w:r>
      <w:r>
        <w:rPr>
          <w:rFonts w:hint="eastAsia" w:ascii="宋体" w:hAnsi="宋体" w:cs="宋体"/>
          <w:color w:val="auto"/>
          <w:kern w:val="0"/>
          <w:sz w:val="22"/>
          <w:szCs w:val="22"/>
          <w:highlight w:val="none"/>
        </w:rPr>
        <w:t>本项目不接受联合体投标。</w:t>
      </w:r>
      <w:r>
        <w:rPr>
          <w:rFonts w:hint="eastAsia" w:ascii="宋体" w:hAnsi="宋体" w:cs="宋体"/>
          <w:color w:val="auto"/>
          <w:kern w:val="0"/>
          <w:sz w:val="22"/>
          <w:szCs w:val="22"/>
          <w:highlight w:val="none"/>
        </w:rPr>
        <w:tab/>
      </w:r>
    </w:p>
    <w:p>
      <w:pPr>
        <w:widowControl/>
        <w:ind w:right="60"/>
        <w:jc w:val="left"/>
        <w:rPr>
          <w:rFonts w:ascii="宋体" w:hAnsi="宋体" w:cs="宋体"/>
          <w:color w:val="auto"/>
          <w:kern w:val="0"/>
          <w:sz w:val="22"/>
          <w:szCs w:val="22"/>
          <w:highlight w:val="none"/>
        </w:rPr>
      </w:pPr>
      <w:r>
        <w:rPr>
          <w:rFonts w:hint="eastAsia" w:ascii="宋体" w:hAnsi="宋体" w:cs="宋体"/>
          <w:b/>
          <w:color w:val="auto"/>
          <w:kern w:val="0"/>
          <w:sz w:val="22"/>
          <w:szCs w:val="22"/>
          <w:highlight w:val="none"/>
        </w:rPr>
        <w:t>九、发售采购文件时间及地点：</w:t>
      </w:r>
    </w:p>
    <w:p>
      <w:pPr>
        <w:widowControl/>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1、报名时间及采购文件发售时间：公告发布之日起投标截止时间前（上午08：30-11：30，下午14：30-17：00，节假日除外）；</w:t>
      </w:r>
    </w:p>
    <w:p>
      <w:pPr>
        <w:widowControl/>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2、采购文件售价：人民币500元整（售后不退）；</w:t>
      </w:r>
    </w:p>
    <w:p>
      <w:pPr>
        <w:widowControl/>
        <w:ind w:firstLine="440" w:firstLineChars="200"/>
        <w:jc w:val="left"/>
        <w:rPr>
          <w:rFonts w:ascii="宋体" w:hAnsi="宋体" w:cs="宋体"/>
          <w:color w:val="auto"/>
          <w:kern w:val="0"/>
          <w:sz w:val="22"/>
          <w:szCs w:val="22"/>
          <w:highlight w:val="none"/>
        </w:rPr>
      </w:pPr>
      <w:bookmarkStart w:id="3" w:name="_Hlk3380468"/>
      <w:r>
        <w:rPr>
          <w:rFonts w:hint="eastAsia" w:ascii="宋体" w:hAnsi="宋体" w:cs="宋体"/>
          <w:color w:val="auto"/>
          <w:kern w:val="0"/>
          <w:sz w:val="22"/>
          <w:szCs w:val="22"/>
          <w:highlight w:val="none"/>
        </w:rPr>
        <w:t>3、报名方式、购买标书及注意事项：</w:t>
      </w:r>
    </w:p>
    <w:bookmarkEnd w:id="3"/>
    <w:p>
      <w:pPr>
        <w:widowControl/>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（1）网上报名（政采云报名）：请供应商登录浙江政府采购网（</w:t>
      </w:r>
      <w:r>
        <w:rPr>
          <w:color w:val="auto"/>
          <w:highlight w:val="none"/>
        </w:rPr>
        <w:fldChar w:fldCharType="begin"/>
      </w:r>
      <w:r>
        <w:rPr>
          <w:color w:val="auto"/>
          <w:highlight w:val="none"/>
        </w:rPr>
        <w:instrText xml:space="preserve"> HYPERLINK "http://www.zjzfcg.gov.cn/），进入" </w:instrText>
      </w:r>
      <w:r>
        <w:rPr>
          <w:color w:val="auto"/>
          <w:highlight w:val="none"/>
        </w:rPr>
        <w:fldChar w:fldCharType="separate"/>
      </w:r>
      <w:r>
        <w:rPr>
          <w:rFonts w:hint="eastAsia" w:ascii="宋体" w:hAnsi="宋体" w:cs="宋体"/>
          <w:color w:val="auto"/>
          <w:kern w:val="0"/>
          <w:sz w:val="22"/>
          <w:szCs w:val="22"/>
          <w:highlight w:val="none"/>
        </w:rPr>
        <w:t>http://www.zjzfcg.gov.cn/），进入“政采云”平</w:t>
      </w:r>
      <w:r>
        <w:rPr>
          <w:rFonts w:hint="eastAsia" w:ascii="宋体" w:hAnsi="宋体" w:cs="宋体"/>
          <w:color w:val="auto"/>
          <w:kern w:val="0"/>
          <w:sz w:val="22"/>
          <w:szCs w:val="22"/>
          <w:highlight w:val="none"/>
        </w:rPr>
        <w:fldChar w:fldCharType="end"/>
      </w:r>
      <w:r>
        <w:rPr>
          <w:rFonts w:hint="eastAsia" w:ascii="宋体" w:hAnsi="宋体" w:cs="宋体"/>
          <w:color w:val="auto"/>
          <w:kern w:val="0"/>
          <w:sz w:val="22"/>
          <w:szCs w:val="22"/>
          <w:highlight w:val="none"/>
        </w:rPr>
        <w:t>台进行注册并报名。网上获取采购文件成功后，请联系采购代理公司并将标书购买费汇入代理公司账户（缴纳报名费后将缴费截图发回代理机构电子邮箱43397725@qq.com）：</w:t>
      </w:r>
    </w:p>
    <w:p>
      <w:pPr>
        <w:widowControl/>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单  位 名 称：浙江信诚项目管理有限公司</w:t>
      </w:r>
    </w:p>
    <w:p>
      <w:pPr>
        <w:widowControl/>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开  户 银 行：</w:t>
      </w:r>
      <w:r>
        <w:rPr>
          <w:rFonts w:hint="eastAsia" w:ascii="宋体" w:hAnsi="宋体" w:cs="宋体"/>
          <w:bCs/>
          <w:color w:val="auto"/>
          <w:sz w:val="22"/>
          <w:szCs w:val="22"/>
          <w:highlight w:val="none"/>
        </w:rPr>
        <w:t>中信银行温州分行营业部</w:t>
      </w:r>
    </w:p>
    <w:p>
      <w:pPr>
        <w:widowControl/>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帐        号：</w:t>
      </w:r>
      <w:r>
        <w:rPr>
          <w:rFonts w:hint="eastAsia" w:ascii="宋体" w:hAnsi="宋体" w:cs="宋体"/>
          <w:bCs/>
          <w:color w:val="auto"/>
          <w:sz w:val="22"/>
          <w:szCs w:val="22"/>
          <w:highlight w:val="none"/>
        </w:rPr>
        <w:t>8110801012801551894</w:t>
      </w:r>
    </w:p>
    <w:p>
      <w:pPr>
        <w:widowControl/>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（2）现场报名：</w:t>
      </w:r>
      <w:r>
        <w:rPr>
          <w:rFonts w:hint="eastAsia" w:ascii="宋体" w:hAnsi="宋体" w:cs="宋体"/>
          <w:color w:val="auto"/>
          <w:sz w:val="22"/>
          <w:szCs w:val="22"/>
          <w:highlight w:val="none"/>
        </w:rPr>
        <w:t>鉴于目前疫情形势，本项目暂不接受现场获取采购文件</w:t>
      </w:r>
      <w:r>
        <w:rPr>
          <w:rFonts w:hint="eastAsia" w:ascii="宋体" w:hAnsi="宋体" w:cs="宋体"/>
          <w:color w:val="auto"/>
          <w:kern w:val="0"/>
          <w:sz w:val="22"/>
          <w:szCs w:val="22"/>
          <w:highlight w:val="none"/>
        </w:rPr>
        <w:t>。</w:t>
      </w:r>
    </w:p>
    <w:p>
      <w:pPr>
        <w:widowControl/>
        <w:ind w:left="60" w:right="60"/>
        <w:jc w:val="left"/>
        <w:rPr>
          <w:rFonts w:ascii="宋体" w:hAnsi="宋体" w:cs="宋体"/>
          <w:bCs/>
          <w:color w:val="auto"/>
          <w:kern w:val="0"/>
          <w:sz w:val="22"/>
          <w:szCs w:val="22"/>
          <w:highlight w:val="none"/>
        </w:rPr>
      </w:pPr>
      <w:r>
        <w:rPr>
          <w:rFonts w:hint="eastAsia" w:ascii="宋体" w:hAnsi="宋体" w:cs="宋体"/>
          <w:b/>
          <w:color w:val="auto"/>
          <w:kern w:val="0"/>
          <w:sz w:val="22"/>
          <w:szCs w:val="22"/>
          <w:highlight w:val="none"/>
        </w:rPr>
        <w:t>十、投标截止时间：</w:t>
      </w:r>
      <w:bookmarkStart w:id="4" w:name="B23_谈判响应文件提交截止日期"/>
      <w:bookmarkEnd w:id="4"/>
      <w:r>
        <w:rPr>
          <w:rFonts w:hint="eastAsia" w:ascii="宋体" w:hAnsi="宋体" w:cs="宋体"/>
          <w:bCs/>
          <w:color w:val="auto"/>
          <w:kern w:val="0"/>
          <w:sz w:val="22"/>
          <w:szCs w:val="22"/>
          <w:highlight w:val="none"/>
        </w:rPr>
        <w:t>2021年9月</w:t>
      </w:r>
      <w:r>
        <w:rPr>
          <w:rFonts w:hint="eastAsia" w:ascii="宋体" w:hAnsi="宋体" w:cs="宋体"/>
          <w:bCs/>
          <w:color w:val="auto"/>
          <w:kern w:val="0"/>
          <w:sz w:val="22"/>
          <w:szCs w:val="22"/>
          <w:highlight w:val="none"/>
          <w:lang w:val="en-US" w:eastAsia="zh-CN"/>
        </w:rPr>
        <w:t>2</w:t>
      </w:r>
      <w:del w:id="15" w:author="水淼淼" w:date="2021-09-07T15:04:10Z">
        <w:r>
          <w:rPr>
            <w:rFonts w:hint="default" w:ascii="宋体" w:hAnsi="宋体" w:cs="宋体"/>
            <w:bCs/>
            <w:color w:val="auto"/>
            <w:kern w:val="0"/>
            <w:sz w:val="22"/>
            <w:szCs w:val="22"/>
            <w:highlight w:val="none"/>
            <w:lang w:val="en-US" w:eastAsia="zh-CN"/>
          </w:rPr>
          <w:delText>7</w:delText>
        </w:r>
      </w:del>
      <w:ins w:id="16" w:author="水淼淼" w:date="2021-09-07T15:04:10Z">
        <w:r>
          <w:rPr>
            <w:rFonts w:hint="eastAsia" w:ascii="宋体" w:hAnsi="宋体" w:cs="宋体"/>
            <w:bCs/>
            <w:color w:val="auto"/>
            <w:kern w:val="0"/>
            <w:sz w:val="22"/>
            <w:szCs w:val="22"/>
            <w:highlight w:val="none"/>
            <w:lang w:val="en-US" w:eastAsia="zh-CN"/>
          </w:rPr>
          <w:t>8</w:t>
        </w:r>
      </w:ins>
      <w:r>
        <w:rPr>
          <w:rFonts w:hint="eastAsia" w:ascii="宋体" w:hAnsi="宋体" w:cs="宋体"/>
          <w:bCs/>
          <w:color w:val="auto"/>
          <w:kern w:val="0"/>
          <w:sz w:val="22"/>
          <w:szCs w:val="22"/>
          <w:highlight w:val="none"/>
        </w:rPr>
        <w:t>日14时30分(北京时间，下同)。</w:t>
      </w:r>
    </w:p>
    <w:p>
      <w:pPr>
        <w:widowControl/>
        <w:tabs>
          <w:tab w:val="left" w:pos="-360"/>
        </w:tabs>
        <w:autoSpaceDE w:val="0"/>
        <w:autoSpaceDN w:val="0"/>
        <w:spacing w:line="276" w:lineRule="auto"/>
        <w:ind w:right="-34" w:firstLine="0" w:firstLineChars="0"/>
        <w:textAlignment w:val="bottom"/>
        <w:rPr>
          <w:rFonts w:ascii="宋体" w:hAnsi="宋体" w:cs="宋体"/>
          <w:color w:val="auto"/>
          <w:sz w:val="22"/>
          <w:szCs w:val="22"/>
          <w:highlight w:val="none"/>
        </w:rPr>
        <w:pPrChange w:id="17" w:author="水淼淼" w:date="2021-09-07T15:04:48Z">
          <w:pPr>
            <w:widowControl/>
            <w:tabs>
              <w:tab w:val="left" w:pos="-360"/>
            </w:tabs>
            <w:autoSpaceDE w:val="0"/>
            <w:autoSpaceDN w:val="0"/>
            <w:spacing w:line="276" w:lineRule="auto"/>
            <w:ind w:right="-34"/>
            <w:textAlignment w:val="bottom"/>
          </w:pPr>
        </w:pPrChange>
      </w:pPr>
      <w:r>
        <w:rPr>
          <w:rFonts w:hint="eastAsia" w:ascii="宋体" w:hAnsi="宋体" w:cs="宋体"/>
          <w:b/>
          <w:color w:val="auto"/>
          <w:kern w:val="0"/>
          <w:sz w:val="22"/>
          <w:szCs w:val="22"/>
          <w:highlight w:val="none"/>
        </w:rPr>
        <w:t>十一、投标文件提交地点：</w:t>
      </w:r>
      <w:r>
        <w:rPr>
          <w:rFonts w:hint="eastAsia" w:ascii="宋体" w:hAnsi="宋体" w:cs="宋体"/>
          <w:color w:val="auto"/>
          <w:sz w:val="22"/>
          <w:szCs w:val="22"/>
          <w:highlight w:val="none"/>
        </w:rPr>
        <w:t>浙江信诚项目管理有限公司（温州市龙湾区文会路19号绿森数字产业园413室）。</w:t>
      </w:r>
    </w:p>
    <w:p>
      <w:pPr>
        <w:widowControl/>
        <w:ind w:left="60" w:right="60"/>
        <w:jc w:val="left"/>
        <w:rPr>
          <w:rFonts w:ascii="宋体" w:hAnsi="宋体" w:cs="宋体"/>
          <w:bCs/>
          <w:color w:val="auto"/>
          <w:kern w:val="0"/>
          <w:sz w:val="22"/>
          <w:szCs w:val="22"/>
          <w:highlight w:val="none"/>
        </w:rPr>
      </w:pPr>
      <w:r>
        <w:rPr>
          <w:rFonts w:hint="eastAsia" w:ascii="宋体" w:hAnsi="宋体" w:cs="宋体"/>
          <w:b/>
          <w:color w:val="auto"/>
          <w:kern w:val="0"/>
          <w:sz w:val="22"/>
          <w:szCs w:val="22"/>
          <w:highlight w:val="none"/>
        </w:rPr>
        <w:t>十二、开标时间：</w:t>
      </w:r>
      <w:bookmarkStart w:id="5" w:name="B26_谈判时间日期"/>
      <w:bookmarkEnd w:id="5"/>
      <w:r>
        <w:rPr>
          <w:rFonts w:hint="eastAsia" w:ascii="宋体" w:hAnsi="宋体" w:cs="宋体"/>
          <w:bCs/>
          <w:color w:val="auto"/>
          <w:kern w:val="0"/>
          <w:sz w:val="22"/>
          <w:szCs w:val="22"/>
          <w:highlight w:val="none"/>
        </w:rPr>
        <w:t>同投标截止时间。</w:t>
      </w:r>
    </w:p>
    <w:p>
      <w:pPr>
        <w:widowControl/>
        <w:tabs>
          <w:tab w:val="left" w:pos="-360"/>
        </w:tabs>
        <w:autoSpaceDE w:val="0"/>
        <w:autoSpaceDN w:val="0"/>
        <w:spacing w:line="276" w:lineRule="auto"/>
        <w:ind w:right="-34"/>
        <w:textAlignment w:val="bottom"/>
        <w:rPr>
          <w:rFonts w:ascii="宋体" w:hAnsi="宋体" w:cs="宋体"/>
          <w:color w:val="auto"/>
          <w:sz w:val="22"/>
          <w:szCs w:val="22"/>
          <w:highlight w:val="none"/>
          <w:shd w:val="clear" w:color="auto" w:fill="FFFFFF"/>
        </w:rPr>
      </w:pPr>
      <w:r>
        <w:rPr>
          <w:rFonts w:hint="eastAsia" w:ascii="宋体" w:hAnsi="宋体" w:cs="宋体"/>
          <w:b/>
          <w:color w:val="auto"/>
          <w:kern w:val="0"/>
          <w:sz w:val="22"/>
          <w:szCs w:val="22"/>
          <w:highlight w:val="none"/>
        </w:rPr>
        <w:t>十三、开标地点：</w:t>
      </w:r>
      <w:r>
        <w:rPr>
          <w:rFonts w:hint="eastAsia" w:ascii="宋体" w:hAnsi="宋体" w:cs="宋体"/>
          <w:color w:val="auto"/>
          <w:sz w:val="22"/>
          <w:szCs w:val="22"/>
          <w:highlight w:val="none"/>
        </w:rPr>
        <w:t>浙江信诚项目管理有限公司（温州市龙湾区文会路19号绿森数字产业园413室）</w:t>
      </w:r>
      <w:r>
        <w:rPr>
          <w:rFonts w:hint="eastAsia" w:ascii="宋体" w:hAnsi="宋体" w:cs="宋体"/>
          <w:color w:val="auto"/>
          <w:sz w:val="22"/>
          <w:szCs w:val="22"/>
          <w:highlight w:val="none"/>
          <w:shd w:val="clear" w:color="auto" w:fill="FFFFFF"/>
        </w:rPr>
        <w:t>。</w:t>
      </w:r>
    </w:p>
    <w:p>
      <w:pPr>
        <w:widowControl/>
        <w:ind w:left="60" w:right="60"/>
        <w:jc w:val="left"/>
        <w:rPr>
          <w:rFonts w:ascii="宋体" w:hAnsi="宋体" w:cs="宋体"/>
          <w:bCs/>
          <w:color w:val="auto"/>
          <w:kern w:val="0"/>
          <w:sz w:val="22"/>
          <w:szCs w:val="22"/>
          <w:highlight w:val="none"/>
        </w:rPr>
      </w:pPr>
      <w:r>
        <w:rPr>
          <w:rFonts w:hint="eastAsia" w:ascii="宋体" w:hAnsi="宋体" w:cs="宋体"/>
          <w:b/>
          <w:color w:val="auto"/>
          <w:kern w:val="0"/>
          <w:sz w:val="22"/>
          <w:szCs w:val="22"/>
          <w:highlight w:val="none"/>
        </w:rPr>
        <w:t>十四、投标保证金：</w:t>
      </w:r>
    </w:p>
    <w:p>
      <w:pPr>
        <w:widowControl/>
        <w:ind w:left="61" w:leftChars="29" w:right="60" w:firstLine="440" w:firstLineChars="200"/>
        <w:jc w:val="left"/>
        <w:rPr>
          <w:rFonts w:ascii="宋体" w:hAnsi="宋体" w:cs="宋体"/>
          <w:bCs/>
          <w:color w:val="auto"/>
          <w:kern w:val="0"/>
          <w:sz w:val="22"/>
          <w:szCs w:val="22"/>
          <w:highlight w:val="none"/>
        </w:rPr>
      </w:pPr>
      <w:bookmarkStart w:id="6" w:name="B29_谈判保证金"/>
      <w:bookmarkEnd w:id="6"/>
      <w:bookmarkStart w:id="7" w:name="_Hlk516555339"/>
      <w:bookmarkStart w:id="8" w:name="_Hlk3381632"/>
      <w:r>
        <w:rPr>
          <w:rFonts w:hint="eastAsia" w:ascii="宋体" w:hAnsi="宋体" w:cs="宋体"/>
          <w:bCs/>
          <w:color w:val="auto"/>
          <w:kern w:val="0"/>
          <w:sz w:val="22"/>
          <w:szCs w:val="22"/>
          <w:highlight w:val="none"/>
        </w:rPr>
        <w:t>投标保证金：人民币伍仟元整。保证金缴纳截止时间:同投标截止时间。投标人缴纳投标保证金后，请携带保证金缴纳凭证（银行转账支票进账单、电汇单等，缴纳保证金用途必须注明项目名称）复印件在提交投标文件时递交给采购代理机构。</w:t>
      </w:r>
    </w:p>
    <w:p>
      <w:pPr>
        <w:widowControl/>
        <w:ind w:left="61" w:leftChars="29" w:right="6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 xml:space="preserve">户名：政采云有限公司 </w:t>
      </w:r>
    </w:p>
    <w:p>
      <w:pPr>
        <w:widowControl/>
        <w:ind w:left="61" w:leftChars="29" w:right="6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账号：190001010400276210000002509</w:t>
      </w:r>
    </w:p>
    <w:p>
      <w:pPr>
        <w:widowControl/>
        <w:ind w:left="61" w:leftChars="29" w:right="6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开户行：中国农业银行杭州西湖支行</w:t>
      </w:r>
    </w:p>
    <w:bookmarkEnd w:id="7"/>
    <w:bookmarkEnd w:id="8"/>
    <w:p>
      <w:pPr>
        <w:widowControl/>
        <w:ind w:left="60" w:right="60"/>
        <w:jc w:val="left"/>
        <w:rPr>
          <w:rFonts w:ascii="宋体" w:hAnsi="宋体" w:cs="宋体"/>
          <w:bCs/>
          <w:color w:val="auto"/>
          <w:kern w:val="0"/>
          <w:sz w:val="22"/>
          <w:szCs w:val="22"/>
          <w:highlight w:val="none"/>
        </w:rPr>
      </w:pPr>
      <w:r>
        <w:rPr>
          <w:rFonts w:hint="eastAsia" w:ascii="宋体" w:hAnsi="宋体" w:cs="宋体"/>
          <w:b/>
          <w:color w:val="auto"/>
          <w:kern w:val="0"/>
          <w:sz w:val="22"/>
          <w:szCs w:val="22"/>
          <w:highlight w:val="none"/>
        </w:rPr>
        <w:t>十五、其他事项：</w:t>
      </w:r>
    </w:p>
    <w:p>
      <w:pPr>
        <w:widowControl/>
        <w:ind w:left="62" w:right="62"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1、采购公告期限：5个工作日，从公告在浙江政府采购网上发布的次日起算；</w:t>
      </w:r>
    </w:p>
    <w:p>
      <w:pPr>
        <w:widowControl/>
        <w:ind w:left="62" w:right="62" w:firstLine="440" w:firstLineChars="200"/>
        <w:jc w:val="left"/>
        <w:rPr>
          <w:rFonts w:ascii="宋体" w:hAnsi="宋体" w:cs="宋体"/>
          <w:bCs/>
          <w:color w:val="auto"/>
          <w:kern w:val="0"/>
          <w:sz w:val="22"/>
          <w:szCs w:val="22"/>
          <w:highlight w:val="none"/>
        </w:rPr>
      </w:pPr>
      <w:bookmarkStart w:id="9" w:name="_Hlk3382472"/>
      <w:r>
        <w:rPr>
          <w:rFonts w:hint="eastAsia" w:ascii="宋体" w:hAnsi="宋体" w:cs="宋体"/>
          <w:bCs/>
          <w:color w:val="auto"/>
          <w:kern w:val="0"/>
          <w:sz w:val="22"/>
          <w:szCs w:val="22"/>
          <w:highlight w:val="none"/>
        </w:rPr>
        <w:t>2、</w:t>
      </w:r>
      <w:r>
        <w:rPr>
          <w:rFonts w:hint="eastAsia" w:ascii="宋体" w:hAnsi="宋体" w:cs="宋体"/>
          <w:color w:val="auto"/>
          <w:sz w:val="22"/>
          <w:szCs w:val="22"/>
          <w:highlight w:val="none"/>
          <w:u w:val="single"/>
        </w:rPr>
        <w:t>供应商认为采购文件使自己的权益受到损害的，可以自收到采购文件之日（发售截止日之后收到采购文件的，以发售截止日为准）或者采购公告期限届满之日起7个工作日内，以书面形式向采购人和采购代理机构提出质疑。质疑投标人对采购人、采购代理机构的答复不满意或者采购人、采购代理机构未在规定的时间内作出答复的，可以在答复期满后十五个工作日内向温州快鹿集团公司纪检室投诉。</w:t>
      </w:r>
    </w:p>
    <w:p>
      <w:pPr>
        <w:widowControl/>
        <w:ind w:left="62" w:right="62" w:firstLine="440" w:firstLineChars="200"/>
        <w:jc w:val="left"/>
        <w:rPr>
          <w:rFonts w:ascii="宋体" w:hAnsi="宋体" w:cs="宋体"/>
          <w:bCs/>
          <w:color w:val="auto"/>
          <w:kern w:val="0"/>
          <w:sz w:val="22"/>
          <w:szCs w:val="22"/>
          <w:highlight w:val="none"/>
        </w:rPr>
      </w:pPr>
      <w:bookmarkStart w:id="10" w:name="B38_其他事项"/>
      <w:r>
        <w:rPr>
          <w:rFonts w:hint="eastAsia" w:ascii="宋体" w:hAnsi="宋体" w:cs="宋体"/>
          <w:bCs/>
          <w:color w:val="auto"/>
          <w:kern w:val="0"/>
          <w:sz w:val="22"/>
          <w:szCs w:val="22"/>
          <w:highlight w:val="none"/>
        </w:rPr>
        <w:t>3、</w:t>
      </w:r>
      <w:bookmarkEnd w:id="10"/>
      <w:ins w:id="18" w:author="水淼淼" w:date="2021-09-07T15:05:52Z">
        <w:r>
          <w:rPr>
            <w:rFonts w:hint="eastAsia" w:ascii="宋体" w:hAnsi="宋体" w:cs="宋体"/>
            <w:bCs/>
            <w:color w:val="auto"/>
            <w:kern w:val="0"/>
            <w:sz w:val="22"/>
            <w:szCs w:val="22"/>
            <w:highlight w:val="none"/>
            <w:u w:val="single"/>
          </w:rPr>
          <w:t>温州市工业与能源发展集团有限公司负责对投标供应商反映的企业本部及所属企业在采购活动中出现的违法违规问题进行答疑回复。投标供应商认为温州市工业与能源发展集团有限公司答疑回复处理结果不合法的，可以采购人或代理机构为对象依法向人民法院提起诉讼。</w:t>
        </w:r>
      </w:ins>
      <w:del w:id="19" w:author="水淼淼" w:date="2021-09-07T15:05:52Z">
        <w:r>
          <w:rPr>
            <w:rFonts w:hint="eastAsia" w:ascii="宋体" w:hAnsi="宋体" w:cs="宋体"/>
            <w:bCs/>
            <w:color w:val="auto"/>
            <w:kern w:val="0"/>
            <w:sz w:val="22"/>
            <w:szCs w:val="22"/>
            <w:highlight w:val="none"/>
            <w:u w:val="single"/>
          </w:rPr>
          <w:delText>温州快鹿集团公司负责对投标人反映的企业本部及所属企业在采购活动中出现的违法违规问题进行答疑回复。投标人认为温州快鹿集团公司答疑回复处理结果不合法的，可以采购人或代理机构为对象依法向人民法院提起诉讼。</w:delText>
        </w:r>
      </w:del>
    </w:p>
    <w:p>
      <w:pPr>
        <w:widowControl/>
        <w:ind w:left="62" w:right="62"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4、采购文件发售截止时间之后潜在供应商仍然可以购买采购文件，但该供应商如对采购文件有疑问应按采购文件规定的询疑截止时间前提出，逾期提出的，采购组织机构可以不予受理、答复。</w:t>
      </w:r>
    </w:p>
    <w:p>
      <w:pPr>
        <w:widowControl/>
        <w:ind w:left="62" w:right="62"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5、书面质疑受理地点：温州市龙湾区文会路19号绿森数字产业园413室，联系人：周先生，联系电话：13967777378。</w:t>
      </w:r>
    </w:p>
    <w:bookmarkEnd w:id="9"/>
    <w:p>
      <w:pPr>
        <w:widowControl/>
        <w:ind w:left="62" w:right="62" w:firstLine="440" w:firstLineChars="200"/>
        <w:jc w:val="left"/>
        <w:rPr>
          <w:rFonts w:ascii="宋体" w:hAnsi="宋体" w:cs="宋体"/>
          <w:b/>
          <w:color w:val="auto"/>
          <w:kern w:val="0"/>
          <w:sz w:val="22"/>
          <w:szCs w:val="22"/>
          <w:highlight w:val="none"/>
        </w:rPr>
      </w:pPr>
      <w:r>
        <w:rPr>
          <w:rFonts w:hint="eastAsia" w:ascii="宋体" w:hAnsi="宋体" w:cs="宋体"/>
          <w:bCs/>
          <w:color w:val="auto"/>
          <w:kern w:val="0"/>
          <w:sz w:val="22"/>
          <w:szCs w:val="22"/>
          <w:highlight w:val="none"/>
        </w:rPr>
        <w:t>6、</w:t>
      </w:r>
      <w:r>
        <w:rPr>
          <w:rFonts w:hint="eastAsia" w:ascii="宋体" w:hAnsi="宋体" w:cs="宋体"/>
          <w:b/>
          <w:color w:val="auto"/>
          <w:kern w:val="0"/>
          <w:sz w:val="22"/>
          <w:szCs w:val="22"/>
          <w:highlight w:val="none"/>
        </w:rPr>
        <w:t>为贯彻落实新型冠状病毒感染的肺炎疫情防控工作要求，根据有关规定，按照“不见面、少接触”的原则进行采购活动。具体办法如下：</w:t>
      </w:r>
    </w:p>
    <w:p>
      <w:pPr>
        <w:widowControl/>
        <w:ind w:left="62" w:right="62"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1）关于投标文件递交的相关说明：投标人现场递交投标文件时必须在规定的投标文件递交截止时间前送到投标文件递交地点，递交人员不得超过1人，</w:t>
      </w:r>
      <w:r>
        <w:rPr>
          <w:rFonts w:hint="eastAsia" w:ascii="宋体" w:hAnsi="宋体" w:cs="宋体"/>
          <w:color w:val="auto"/>
          <w:sz w:val="22"/>
          <w:szCs w:val="22"/>
          <w:highlight w:val="none"/>
        </w:rPr>
        <w:t>请戴口罩并按规定出示绿色健康码（如需要），要求做好防护措施，人员距离保持至少一米，投标文件递交后</w:t>
      </w:r>
      <w:r>
        <w:rPr>
          <w:rFonts w:hint="eastAsia" w:ascii="宋体" w:hAnsi="宋体" w:cs="宋体"/>
          <w:bCs/>
          <w:color w:val="auto"/>
          <w:kern w:val="0"/>
          <w:sz w:val="22"/>
          <w:szCs w:val="22"/>
          <w:highlight w:val="none"/>
        </w:rPr>
        <w:t>不得聚集。</w:t>
      </w:r>
    </w:p>
    <w:p>
      <w:pPr>
        <w:widowControl/>
        <w:ind w:left="62" w:right="62"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2）由采购人工作人员（包括监察人员）全程参与监督代理公司的工作流程，全程做好投标文件密封检查工作。</w:t>
      </w:r>
    </w:p>
    <w:p>
      <w:pPr>
        <w:widowControl/>
        <w:ind w:left="60" w:right="60"/>
        <w:jc w:val="left"/>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十六、联系方式</w:t>
      </w:r>
    </w:p>
    <w:p>
      <w:pPr>
        <w:widowControl/>
        <w:ind w:left="60" w:right="60"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采购人名称：温州快鹿集团公司</w:t>
      </w:r>
    </w:p>
    <w:p>
      <w:pPr>
        <w:widowControl/>
        <w:ind w:left="60" w:right="60"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地  址：浙江省温州市龙湾区蒲州街道兴平路29号</w:t>
      </w:r>
    </w:p>
    <w:p>
      <w:pPr>
        <w:widowControl/>
        <w:ind w:left="60" w:right="60"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联系人：</w:t>
      </w:r>
      <w:del w:id="20" w:author="水淼淼" w:date="2021-09-07T15:09:59Z">
        <w:r>
          <w:rPr>
            <w:rFonts w:hint="eastAsia" w:ascii="宋体" w:hAnsi="宋体" w:cs="宋体"/>
            <w:bCs/>
            <w:color w:val="auto"/>
            <w:kern w:val="0"/>
            <w:sz w:val="22"/>
            <w:szCs w:val="22"/>
            <w:highlight w:val="none"/>
          </w:rPr>
          <w:delText xml:space="preserve">  </w:delText>
        </w:r>
      </w:del>
      <w:r>
        <w:rPr>
          <w:rFonts w:hint="eastAsia" w:ascii="宋体" w:hAnsi="宋体" w:cs="宋体"/>
          <w:bCs/>
          <w:color w:val="auto"/>
          <w:kern w:val="0"/>
          <w:sz w:val="22"/>
          <w:szCs w:val="22"/>
          <w:highlight w:val="none"/>
        </w:rPr>
        <w:t>杨增辉</w:t>
      </w:r>
    </w:p>
    <w:p>
      <w:pPr>
        <w:widowControl/>
        <w:ind w:left="60" w:right="60"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联系电话：0577-56812798</w:t>
      </w:r>
    </w:p>
    <w:p>
      <w:pPr>
        <w:widowControl/>
        <w:ind w:left="62" w:right="62"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采购代理机构名称：浙江信诚项目管理有限公司</w:t>
      </w:r>
    </w:p>
    <w:p>
      <w:pPr>
        <w:widowControl/>
        <w:ind w:left="62" w:right="62"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地 址：温州市龙湾区文会路19号绿森数字产业园413室</w:t>
      </w:r>
    </w:p>
    <w:p>
      <w:pPr>
        <w:widowControl/>
        <w:ind w:left="62" w:right="62"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联系人：周先生</w:t>
      </w:r>
    </w:p>
    <w:p>
      <w:pPr>
        <w:widowControl/>
        <w:ind w:left="62" w:right="62"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联系电话：0577-88875876、13967777378  邮箱：</w:t>
      </w:r>
      <w:r>
        <w:rPr>
          <w:color w:val="auto"/>
          <w:highlight w:val="none"/>
        </w:rPr>
        <w:fldChar w:fldCharType="begin"/>
      </w:r>
      <w:r>
        <w:rPr>
          <w:color w:val="auto"/>
          <w:highlight w:val="none"/>
        </w:rPr>
        <w:instrText xml:space="preserve"> HYPERLINK "mailto:517411407@qq.com" </w:instrText>
      </w:r>
      <w:r>
        <w:rPr>
          <w:color w:val="auto"/>
          <w:highlight w:val="none"/>
        </w:rPr>
        <w:fldChar w:fldCharType="separate"/>
      </w:r>
      <w:r>
        <w:rPr>
          <w:rStyle w:val="25"/>
          <w:rFonts w:hint="eastAsia" w:ascii="宋体" w:hAnsi="宋体" w:cs="宋体"/>
          <w:bCs/>
          <w:color w:val="auto"/>
          <w:kern w:val="0"/>
          <w:sz w:val="22"/>
          <w:szCs w:val="22"/>
          <w:highlight w:val="none"/>
          <w:u w:val="none"/>
        </w:rPr>
        <w:t>43397725@qq.com</w:t>
      </w:r>
      <w:r>
        <w:rPr>
          <w:rStyle w:val="25"/>
          <w:rFonts w:hint="eastAsia" w:ascii="宋体" w:hAnsi="宋体" w:cs="宋体"/>
          <w:bCs/>
          <w:color w:val="auto"/>
          <w:kern w:val="0"/>
          <w:sz w:val="22"/>
          <w:szCs w:val="22"/>
          <w:highlight w:val="none"/>
          <w:u w:val="none"/>
        </w:rPr>
        <w:fldChar w:fldCharType="end"/>
      </w:r>
    </w:p>
    <w:p>
      <w:pPr>
        <w:widowControl/>
        <w:ind w:left="62" w:right="62"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采购监管部门：温州快鹿集团公司纪检室</w:t>
      </w:r>
    </w:p>
    <w:p>
      <w:pPr>
        <w:widowControl/>
        <w:ind w:left="62" w:right="62" w:firstLine="440" w:firstLineChars="200"/>
        <w:jc w:val="left"/>
        <w:rPr>
          <w:rFonts w:hint="eastAsia" w:ascii="宋体" w:hAnsi="宋体" w:eastAsia="宋体" w:cs="宋体"/>
          <w:color w:val="auto"/>
          <w:sz w:val="22"/>
          <w:szCs w:val="22"/>
          <w:highlight w:val="none"/>
          <w:lang w:val="en-US" w:eastAsia="zh-CN"/>
        </w:rPr>
      </w:pPr>
      <w:r>
        <w:rPr>
          <w:rFonts w:hint="eastAsia" w:ascii="宋体" w:hAnsi="宋体" w:cs="宋体"/>
          <w:bCs/>
          <w:color w:val="auto"/>
          <w:kern w:val="0"/>
          <w:sz w:val="22"/>
          <w:szCs w:val="22"/>
          <w:highlight w:val="none"/>
        </w:rPr>
        <w:t>电话：0577-</w:t>
      </w:r>
      <w:del w:id="21" w:author="王莉" w:date="2021-09-07T16:32:19Z">
        <w:r>
          <w:rPr>
            <w:rFonts w:hint="eastAsia" w:ascii="宋体" w:hAnsi="宋体" w:cs="宋体"/>
            <w:bCs/>
            <w:color w:val="auto"/>
            <w:kern w:val="0"/>
            <w:sz w:val="22"/>
            <w:szCs w:val="22"/>
            <w:highlight w:val="none"/>
            <w:lang w:val="en-US"/>
          </w:rPr>
          <w:delText>88626013</w:delText>
        </w:r>
      </w:del>
      <w:ins w:id="22" w:author="王莉" w:date="2021-09-07T16:32:19Z">
        <w:r>
          <w:rPr>
            <w:rFonts w:hint="eastAsia" w:ascii="宋体" w:hAnsi="宋体" w:cs="宋体"/>
            <w:bCs/>
            <w:color w:val="auto"/>
            <w:kern w:val="0"/>
            <w:sz w:val="22"/>
            <w:szCs w:val="22"/>
            <w:highlight w:val="none"/>
            <w:lang w:val="en-US" w:eastAsia="zh-CN"/>
          </w:rPr>
          <w:t>555</w:t>
        </w:r>
      </w:ins>
      <w:ins w:id="23" w:author="王莉" w:date="2021-09-07T16:32:20Z">
        <w:r>
          <w:rPr>
            <w:rFonts w:hint="eastAsia" w:ascii="宋体" w:hAnsi="宋体" w:cs="宋体"/>
            <w:bCs/>
            <w:color w:val="auto"/>
            <w:kern w:val="0"/>
            <w:sz w:val="22"/>
            <w:szCs w:val="22"/>
            <w:highlight w:val="none"/>
            <w:lang w:val="en-US" w:eastAsia="zh-CN"/>
          </w:rPr>
          <w:t>99</w:t>
        </w:r>
      </w:ins>
      <w:ins w:id="24" w:author="王莉" w:date="2021-09-07T16:32:22Z">
        <w:r>
          <w:rPr>
            <w:rFonts w:hint="eastAsia" w:ascii="宋体" w:hAnsi="宋体" w:cs="宋体"/>
            <w:bCs/>
            <w:color w:val="auto"/>
            <w:kern w:val="0"/>
            <w:sz w:val="22"/>
            <w:szCs w:val="22"/>
            <w:highlight w:val="none"/>
            <w:lang w:val="en-US" w:eastAsia="zh-CN"/>
          </w:rPr>
          <w:t>7</w:t>
        </w:r>
      </w:ins>
      <w:ins w:id="25" w:author="王莉" w:date="2021-09-07T16:32:23Z">
        <w:r>
          <w:rPr>
            <w:rFonts w:hint="eastAsia" w:ascii="宋体" w:hAnsi="宋体" w:cs="宋体"/>
            <w:bCs/>
            <w:color w:val="auto"/>
            <w:kern w:val="0"/>
            <w:sz w:val="22"/>
            <w:szCs w:val="22"/>
            <w:highlight w:val="none"/>
            <w:lang w:val="en-US" w:eastAsia="zh-CN"/>
          </w:rPr>
          <w:t>68</w:t>
        </w:r>
      </w:ins>
    </w:p>
    <w:p>
      <w:pPr>
        <w:widowControl/>
        <w:ind w:left="62" w:right="62" w:firstLine="440" w:firstLineChars="200"/>
        <w:jc w:val="right"/>
        <w:rPr>
          <w:rFonts w:ascii="宋体" w:hAnsi="宋体" w:cs="宋体"/>
          <w:bCs/>
          <w:color w:val="auto"/>
          <w:kern w:val="0"/>
          <w:sz w:val="22"/>
          <w:szCs w:val="22"/>
          <w:highlight w:val="none"/>
        </w:rPr>
      </w:pPr>
      <w:r>
        <w:rPr>
          <w:rFonts w:hint="eastAsia" w:ascii="宋体" w:hAnsi="宋体" w:cs="宋体"/>
          <w:color w:val="auto"/>
          <w:kern w:val="0"/>
          <w:sz w:val="22"/>
          <w:szCs w:val="22"/>
          <w:highlight w:val="none"/>
        </w:rPr>
        <w:t>温州快鹿集团公司</w:t>
      </w:r>
      <w:r>
        <w:rPr>
          <w:rFonts w:hint="eastAsia" w:ascii="宋体" w:hAnsi="宋体" w:cs="宋体"/>
          <w:bCs/>
          <w:color w:val="auto"/>
          <w:kern w:val="0"/>
          <w:sz w:val="22"/>
          <w:szCs w:val="22"/>
          <w:highlight w:val="none"/>
        </w:rPr>
        <w:t xml:space="preserve"> </w:t>
      </w:r>
    </w:p>
    <w:p>
      <w:pPr>
        <w:widowControl/>
        <w:ind w:left="62" w:right="62" w:firstLine="440" w:firstLineChars="200"/>
        <w:jc w:val="righ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浙江信诚项目管理有限公司</w:t>
      </w:r>
    </w:p>
    <w:p>
      <w:pPr>
        <w:widowControl/>
        <w:ind w:left="62" w:right="62" w:firstLine="440" w:firstLineChars="200"/>
        <w:jc w:val="right"/>
        <w:rPr>
          <w:rFonts w:ascii="宋体" w:hAnsi="宋体" w:cs="宋体"/>
          <w:color w:val="auto"/>
          <w:sz w:val="22"/>
          <w:szCs w:val="22"/>
          <w:highlight w:val="none"/>
        </w:rPr>
      </w:pPr>
      <w:r>
        <w:rPr>
          <w:rFonts w:hint="eastAsia" w:ascii="宋体" w:hAnsi="宋体" w:cs="宋体"/>
          <w:color w:val="auto"/>
          <w:kern w:val="0"/>
          <w:sz w:val="22"/>
          <w:szCs w:val="22"/>
          <w:highlight w:val="none"/>
        </w:rPr>
        <w:t>2021年9月</w:t>
      </w:r>
      <w:del w:id="26" w:author="王莉" w:date="2021-09-07T16:32:26Z">
        <w:r>
          <w:rPr>
            <w:rFonts w:hint="eastAsia" w:ascii="宋体" w:hAnsi="宋体" w:cs="宋体"/>
            <w:color w:val="auto"/>
            <w:kern w:val="0"/>
            <w:sz w:val="22"/>
            <w:szCs w:val="22"/>
            <w:highlight w:val="none"/>
            <w:lang w:val="en-US" w:eastAsia="zh-CN"/>
          </w:rPr>
          <w:delText>7</w:delText>
        </w:r>
      </w:del>
      <w:ins w:id="27" w:author="王莉" w:date="2021-09-07T16:32:26Z">
        <w:r>
          <w:rPr>
            <w:rFonts w:hint="eastAsia" w:ascii="宋体" w:hAnsi="宋体" w:cs="宋体"/>
            <w:color w:val="auto"/>
            <w:kern w:val="0"/>
            <w:sz w:val="22"/>
            <w:szCs w:val="22"/>
            <w:highlight w:val="none"/>
            <w:lang w:val="en-US" w:eastAsia="zh-CN"/>
          </w:rPr>
          <w:t>8</w:t>
        </w:r>
      </w:ins>
      <w:r>
        <w:rPr>
          <w:rFonts w:hint="eastAsia" w:ascii="宋体" w:hAnsi="宋体" w:cs="宋体"/>
          <w:color w:val="auto"/>
          <w:kern w:val="0"/>
          <w:sz w:val="22"/>
          <w:szCs w:val="22"/>
          <w:highlight w:val="none"/>
        </w:rPr>
        <w:t>日</w:t>
      </w:r>
      <w:bookmarkStart w:id="11" w:name="_Toc491780522"/>
    </w:p>
    <w:p>
      <w:pPr>
        <w:jc w:val="center"/>
        <w:rPr>
          <w:ins w:id="28" w:author="张弓达" w:date="2021-09-07T15:27:34Z"/>
          <w:rFonts w:hint="eastAsia" w:ascii="宋体" w:hAnsi="宋体" w:cs="宋体"/>
          <w:b/>
          <w:bCs/>
          <w:color w:val="auto"/>
          <w:sz w:val="32"/>
          <w:szCs w:val="32"/>
          <w:highlight w:val="none"/>
          <w:lang w:eastAsia="zh-CN"/>
        </w:rPr>
      </w:pPr>
      <w:r>
        <w:rPr>
          <w:rFonts w:hint="eastAsia" w:ascii="宋体" w:hAnsi="宋体" w:cs="宋体"/>
          <w:color w:val="auto"/>
          <w:sz w:val="24"/>
          <w:highlight w:val="none"/>
        </w:rPr>
        <w:br w:type="page"/>
      </w:r>
      <w:ins w:id="29" w:author="张弓达" w:date="2021-09-07T15:27:32Z">
        <w:r>
          <w:rPr>
            <w:rFonts w:hint="eastAsia" w:ascii="宋体" w:hAnsi="宋体" w:cs="宋体"/>
            <w:b/>
            <w:bCs/>
            <w:color w:val="auto"/>
            <w:sz w:val="32"/>
            <w:szCs w:val="32"/>
            <w:highlight w:val="none"/>
          </w:rPr>
          <w:t>温州市工业与能源集团关于快鹿集团安保服务项目</w:t>
        </w:r>
      </w:ins>
      <w:ins w:id="30" w:author="张弓达" w:date="2021-09-07T15:27:32Z">
        <w:r>
          <w:rPr>
            <w:rFonts w:hint="eastAsia" w:ascii="宋体" w:hAnsi="宋体" w:cs="宋体"/>
            <w:b/>
            <w:bCs/>
            <w:color w:val="auto"/>
            <w:sz w:val="32"/>
            <w:szCs w:val="32"/>
            <w:highlight w:val="none"/>
            <w:lang w:eastAsia="zh-CN"/>
          </w:rPr>
          <w:t>（</w:t>
        </w:r>
      </w:ins>
      <w:ins w:id="31" w:author="张弓达" w:date="2021-09-07T15:27:32Z">
        <w:r>
          <w:rPr>
            <w:rFonts w:hint="eastAsia" w:ascii="宋体" w:hAnsi="宋体" w:cs="宋体"/>
            <w:b/>
            <w:bCs/>
            <w:color w:val="auto"/>
            <w:sz w:val="32"/>
            <w:szCs w:val="32"/>
            <w:highlight w:val="none"/>
            <w:lang w:val="en-US" w:eastAsia="zh-CN"/>
          </w:rPr>
          <w:t>自主</w:t>
        </w:r>
      </w:ins>
      <w:ins w:id="32" w:author="张弓达" w:date="2021-09-07T15:27:32Z">
        <w:r>
          <w:rPr>
            <w:rFonts w:hint="eastAsia" w:ascii="宋体" w:hAnsi="宋体" w:cs="宋体"/>
            <w:b/>
            <w:bCs/>
            <w:color w:val="auto"/>
            <w:sz w:val="32"/>
            <w:szCs w:val="32"/>
            <w:highlight w:val="none"/>
            <w:lang w:eastAsia="zh-CN"/>
          </w:rPr>
          <w:t>）</w:t>
        </w:r>
      </w:ins>
      <w:ins w:id="33" w:author="水淼淼" w:date="2021-09-07T15:12:16Z">
        <w:del w:id="34" w:author="张弓达" w:date="2021-09-07T15:27:32Z">
          <w:r>
            <w:rPr>
              <w:rFonts w:hint="eastAsia" w:ascii="宋体" w:hAnsi="宋体" w:cs="宋体"/>
              <w:b/>
              <w:bCs/>
              <w:color w:val="auto"/>
              <w:sz w:val="32"/>
              <w:szCs w:val="32"/>
              <w:highlight w:val="none"/>
            </w:rPr>
            <w:delText>温州</w:delText>
          </w:r>
        </w:del>
      </w:ins>
      <w:ins w:id="35" w:author="水淼淼" w:date="2021-09-07T15:12:16Z">
        <w:del w:id="36" w:author="张弓达" w:date="2021-09-07T15:27:32Z">
          <w:r>
            <w:rPr>
              <w:rFonts w:hint="eastAsia" w:ascii="宋体" w:hAnsi="宋体" w:cs="宋体"/>
              <w:b/>
              <w:bCs/>
              <w:color w:val="auto"/>
              <w:sz w:val="32"/>
              <w:szCs w:val="32"/>
              <w:highlight w:val="none"/>
              <w:lang w:val="en-US" w:eastAsia="zh-CN"/>
            </w:rPr>
            <w:delText>市工业与能源集团</w:delText>
          </w:r>
        </w:del>
      </w:ins>
      <w:del w:id="37" w:author="张弓达" w:date="2021-09-07T15:27:32Z">
        <w:r>
          <w:rPr>
            <w:rFonts w:hint="eastAsia" w:ascii="宋体" w:hAnsi="宋体" w:cs="宋体"/>
            <w:b/>
            <w:bCs/>
            <w:color w:val="auto"/>
            <w:sz w:val="32"/>
            <w:szCs w:val="32"/>
            <w:highlight w:val="none"/>
          </w:rPr>
          <w:delText>温州快鹿集团公司关于快鹿集团安保服务采购项目</w:delText>
        </w:r>
      </w:del>
      <w:ins w:id="38" w:author="水淼淼" w:date="2021-09-07T15:10:39Z">
        <w:del w:id="39" w:author="张弓达" w:date="2021-09-07T15:27:32Z">
          <w:r>
            <w:rPr>
              <w:rFonts w:hint="eastAsia" w:ascii="宋体" w:hAnsi="宋体" w:cs="宋体"/>
              <w:b/>
              <w:bCs/>
              <w:color w:val="auto"/>
              <w:sz w:val="32"/>
              <w:szCs w:val="32"/>
              <w:highlight w:val="none"/>
              <w:lang w:eastAsia="zh-CN"/>
            </w:rPr>
            <w:delText>（</w:delText>
          </w:r>
        </w:del>
      </w:ins>
      <w:ins w:id="40" w:author="水淼淼" w:date="2021-09-07T15:10:39Z">
        <w:del w:id="41" w:author="张弓达" w:date="2021-09-07T15:27:32Z">
          <w:r>
            <w:rPr>
              <w:rFonts w:hint="eastAsia" w:ascii="宋体" w:hAnsi="宋体" w:cs="宋体"/>
              <w:b/>
              <w:bCs/>
              <w:color w:val="auto"/>
              <w:sz w:val="32"/>
              <w:szCs w:val="32"/>
              <w:highlight w:val="none"/>
              <w:lang w:val="en-US" w:eastAsia="zh-CN"/>
            </w:rPr>
            <w:delText>自主</w:delText>
          </w:r>
        </w:del>
      </w:ins>
      <w:ins w:id="42" w:author="水淼淼" w:date="2021-09-07T15:10:39Z">
        <w:del w:id="43" w:author="张弓达" w:date="2021-09-07T15:27:32Z">
          <w:r>
            <w:rPr>
              <w:rFonts w:hint="eastAsia" w:ascii="宋体" w:hAnsi="宋体" w:cs="宋体"/>
              <w:b/>
              <w:bCs/>
              <w:color w:val="auto"/>
              <w:sz w:val="32"/>
              <w:szCs w:val="32"/>
              <w:highlight w:val="none"/>
              <w:lang w:eastAsia="zh-CN"/>
            </w:rPr>
            <w:delText>）</w:delText>
          </w:r>
        </w:del>
      </w:ins>
    </w:p>
    <w:p>
      <w:pPr>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征求意见公示</w:t>
      </w:r>
      <w:bookmarkEnd w:id="11"/>
    </w:p>
    <w:p>
      <w:pPr>
        <w:jc w:val="center"/>
        <w:rPr>
          <w:rFonts w:ascii="宋体" w:hAnsi="宋体" w:cs="宋体"/>
          <w:color w:val="auto"/>
          <w:sz w:val="24"/>
          <w:highlight w:val="none"/>
        </w:rPr>
      </w:pPr>
    </w:p>
    <w:p>
      <w:pPr>
        <w:widowControl/>
        <w:ind w:left="62" w:right="62"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浙江信诚项目管理有限公司受温州快鹿集团公司的委托，就快鹿集团安保服务采购项目以公开招标方式进行采购。现将本项目采购文件公布如下（详见附件），并公开征求投标人及专家意见。</w:t>
      </w:r>
    </w:p>
    <w:p>
      <w:pPr>
        <w:widowControl/>
        <w:ind w:right="62"/>
        <w:jc w:val="left"/>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一、征求意见范围：</w:t>
      </w:r>
    </w:p>
    <w:p>
      <w:pPr>
        <w:widowControl/>
        <w:ind w:left="62" w:right="62"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1、是否出现明显的倾向性意见和特定的性能指标；</w:t>
      </w:r>
    </w:p>
    <w:p>
      <w:pPr>
        <w:widowControl/>
        <w:ind w:left="62" w:right="62"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2、投标人资格条件是否具有明显倾向性和歧视性；</w:t>
      </w:r>
    </w:p>
    <w:p>
      <w:pPr>
        <w:widowControl/>
        <w:ind w:left="62" w:right="62"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3、影响温州市国有企业采购“公开、公平、公正”原则的其他情况。 </w:t>
      </w:r>
    </w:p>
    <w:p>
      <w:pPr>
        <w:widowControl/>
        <w:ind w:right="62"/>
        <w:jc w:val="left"/>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二、征求意见的回复：</w:t>
      </w:r>
    </w:p>
    <w:p>
      <w:pPr>
        <w:widowControl/>
        <w:ind w:left="62" w:right="62"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各投标人及专家提出修改理由和建议的，请于2021年9月</w:t>
      </w:r>
      <w:r>
        <w:rPr>
          <w:rFonts w:hint="eastAsia" w:ascii="宋体" w:hAnsi="宋体" w:cs="宋体"/>
          <w:bCs/>
          <w:color w:val="auto"/>
          <w:kern w:val="0"/>
          <w:sz w:val="22"/>
          <w:szCs w:val="22"/>
          <w:highlight w:val="none"/>
          <w:lang w:val="en-US" w:eastAsia="zh-CN"/>
        </w:rPr>
        <w:t>13</w:t>
      </w:r>
      <w:r>
        <w:rPr>
          <w:rFonts w:hint="eastAsia" w:ascii="宋体" w:hAnsi="宋体" w:cs="宋体"/>
          <w:bCs/>
          <w:color w:val="auto"/>
          <w:kern w:val="0"/>
          <w:sz w:val="22"/>
          <w:szCs w:val="22"/>
          <w:highlight w:val="none"/>
        </w:rPr>
        <w:t>日上午11时30分前将书面材料签字（盖章）并密封后送至温州市龙湾区文会路19号绿森数字产业园413室，或先将扫描件及电子版发送至邮箱43397725@qq.com，并同时将该原件书面寄至浙江信诚项目管理有限公司。</w:t>
      </w:r>
    </w:p>
    <w:p>
      <w:pPr>
        <w:widowControl/>
        <w:ind w:left="62" w:right="62"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联系人：周先生，联系电话：13967777378。</w:t>
      </w:r>
    </w:p>
    <w:p>
      <w:pPr>
        <w:widowControl/>
        <w:ind w:left="62" w:right="62"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对逾期送达的意见、建议书恕不接受。</w:t>
      </w:r>
    </w:p>
    <w:p>
      <w:pPr>
        <w:widowControl/>
        <w:ind w:right="62"/>
        <w:jc w:val="left"/>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三、附本项目采购文件</w:t>
      </w:r>
    </w:p>
    <w:p>
      <w:pPr>
        <w:widowControl/>
        <w:ind w:left="62" w:right="62" w:firstLine="440" w:firstLineChars="200"/>
        <w:jc w:val="righ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温州快鹿集团公司</w:t>
      </w:r>
    </w:p>
    <w:p>
      <w:pPr>
        <w:widowControl/>
        <w:ind w:left="62" w:right="62" w:firstLine="440" w:firstLineChars="200"/>
        <w:jc w:val="righ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浙江信诚项目管理有限公司</w:t>
      </w:r>
    </w:p>
    <w:p>
      <w:pPr>
        <w:widowControl/>
        <w:ind w:left="62" w:right="62" w:firstLine="440" w:firstLineChars="200"/>
        <w:jc w:val="righ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2021年9月</w:t>
      </w:r>
      <w:del w:id="44" w:author="王莉" w:date="2021-09-07T16:32:33Z">
        <w:r>
          <w:rPr>
            <w:rFonts w:hint="eastAsia" w:ascii="宋体" w:hAnsi="宋体" w:cs="宋体"/>
            <w:bCs/>
            <w:color w:val="auto"/>
            <w:kern w:val="0"/>
            <w:sz w:val="22"/>
            <w:szCs w:val="22"/>
            <w:highlight w:val="none"/>
            <w:lang w:val="en-US" w:eastAsia="zh-CN"/>
          </w:rPr>
          <w:delText>7</w:delText>
        </w:r>
      </w:del>
      <w:ins w:id="45" w:author="王莉" w:date="2021-09-07T16:32:33Z">
        <w:r>
          <w:rPr>
            <w:rFonts w:hint="eastAsia" w:ascii="宋体" w:hAnsi="宋体" w:cs="宋体"/>
            <w:bCs/>
            <w:color w:val="auto"/>
            <w:kern w:val="0"/>
            <w:sz w:val="22"/>
            <w:szCs w:val="22"/>
            <w:highlight w:val="none"/>
            <w:lang w:val="en-US" w:eastAsia="zh-CN"/>
          </w:rPr>
          <w:t>8</w:t>
        </w:r>
      </w:ins>
      <w:r>
        <w:rPr>
          <w:rFonts w:hint="eastAsia" w:ascii="宋体" w:hAnsi="宋体" w:cs="宋体"/>
          <w:bCs/>
          <w:color w:val="auto"/>
          <w:kern w:val="0"/>
          <w:sz w:val="22"/>
          <w:szCs w:val="22"/>
          <w:highlight w:val="none"/>
        </w:rPr>
        <w:t>日</w:t>
      </w:r>
    </w:p>
    <w:p>
      <w:pPr>
        <w:widowControl/>
        <w:spacing w:before="60" w:after="60"/>
        <w:ind w:left="62" w:right="62" w:firstLine="420" w:firstLineChars="200"/>
        <w:jc w:val="center"/>
        <w:rPr>
          <w:rFonts w:ascii="宋体" w:hAnsi="宋体" w:cs="宋体"/>
          <w:color w:val="auto"/>
          <w:sz w:val="36"/>
          <w:szCs w:val="36"/>
          <w:highlight w:val="none"/>
        </w:rPr>
      </w:pPr>
      <w:r>
        <w:rPr>
          <w:rFonts w:hint="eastAsia" w:ascii="宋体" w:hAnsi="宋体" w:cs="宋体"/>
          <w:bCs/>
          <w:color w:val="auto"/>
          <w:kern w:val="0"/>
          <w:szCs w:val="21"/>
          <w:highlight w:val="none"/>
        </w:rPr>
        <w:br w:type="page"/>
      </w:r>
      <w:bookmarkStart w:id="12" w:name="_Toc217460684"/>
      <w:bookmarkStart w:id="13" w:name="_Toc227489886"/>
      <w:bookmarkStart w:id="14" w:name="_Toc218041725"/>
      <w:bookmarkStart w:id="15" w:name="_Toc215415529"/>
      <w:bookmarkStart w:id="16" w:name="_Toc223717603"/>
      <w:bookmarkStart w:id="17" w:name="_Toc223933220"/>
      <w:bookmarkStart w:id="18" w:name="_Toc216667819"/>
      <w:bookmarkStart w:id="19" w:name="_Toc219538612"/>
      <w:bookmarkStart w:id="20" w:name="_Toc491780523"/>
      <w:bookmarkStart w:id="21" w:name="_Toc227056845"/>
      <w:bookmarkStart w:id="22" w:name="_Toc227057032"/>
      <w:r>
        <w:rPr>
          <w:rFonts w:hint="eastAsia" w:ascii="宋体" w:hAnsi="宋体" w:cs="宋体"/>
          <w:color w:val="auto"/>
          <w:sz w:val="36"/>
          <w:szCs w:val="36"/>
          <w:highlight w:val="none"/>
        </w:rPr>
        <w:t>第一部分 投标人须知</w:t>
      </w:r>
      <w:bookmarkEnd w:id="12"/>
      <w:bookmarkEnd w:id="13"/>
      <w:bookmarkEnd w:id="14"/>
      <w:bookmarkEnd w:id="15"/>
      <w:bookmarkEnd w:id="16"/>
      <w:bookmarkEnd w:id="17"/>
      <w:bookmarkEnd w:id="18"/>
      <w:bookmarkEnd w:id="19"/>
      <w:bookmarkEnd w:id="20"/>
      <w:bookmarkEnd w:id="21"/>
      <w:bookmarkEnd w:id="22"/>
    </w:p>
    <w:p>
      <w:pPr>
        <w:spacing w:before="120" w:beforeLines="50" w:after="120" w:afterLines="50"/>
        <w:jc w:val="center"/>
        <w:rPr>
          <w:rFonts w:ascii="宋体" w:hAnsi="宋体" w:cs="宋体"/>
          <w:b/>
          <w:color w:val="auto"/>
          <w:sz w:val="28"/>
          <w:szCs w:val="28"/>
          <w:highlight w:val="none"/>
        </w:rPr>
      </w:pPr>
      <w:bookmarkStart w:id="23" w:name="_Toc433729304"/>
      <w:bookmarkStart w:id="24" w:name="_Toc401243876"/>
      <w:bookmarkStart w:id="25" w:name="_Toc215415530"/>
      <w:bookmarkStart w:id="26" w:name="_Toc217460685"/>
      <w:bookmarkStart w:id="27" w:name="_Toc218041726"/>
      <w:bookmarkStart w:id="28" w:name="_Toc227056846"/>
      <w:bookmarkStart w:id="29" w:name="_Toc227057033"/>
      <w:bookmarkStart w:id="30" w:name="_Toc219538613"/>
      <w:bookmarkStart w:id="31" w:name="_Toc216667820"/>
      <w:bookmarkStart w:id="32" w:name="_Toc227489887"/>
      <w:bookmarkStart w:id="33" w:name="_Toc223717604"/>
      <w:bookmarkStart w:id="34" w:name="_Toc223933221"/>
      <w:r>
        <w:rPr>
          <w:rFonts w:hint="eastAsia" w:ascii="宋体" w:hAnsi="宋体" w:cs="宋体"/>
          <w:b/>
          <w:color w:val="auto"/>
          <w:sz w:val="28"/>
          <w:szCs w:val="28"/>
          <w:highlight w:val="none"/>
        </w:rPr>
        <w:t>投标人须知前附表</w:t>
      </w:r>
      <w:bookmarkEnd w:id="23"/>
      <w:bookmarkEnd w:id="24"/>
    </w:p>
    <w:tbl>
      <w:tblPr>
        <w:tblStyle w:val="27"/>
        <w:tblW w:w="9628" w:type="dxa"/>
        <w:jc w:val="center"/>
        <w:tblInd w:w="0" w:type="dxa"/>
        <w:tblLayout w:type="fixed"/>
        <w:tblCellMar>
          <w:top w:w="0" w:type="dxa"/>
          <w:left w:w="108" w:type="dxa"/>
          <w:bottom w:w="0" w:type="dxa"/>
          <w:right w:w="108" w:type="dxa"/>
        </w:tblCellMar>
      </w:tblPr>
      <w:tblGrid>
        <w:gridCol w:w="836"/>
        <w:gridCol w:w="1624"/>
        <w:gridCol w:w="7168"/>
      </w:tblGrid>
      <w:tr>
        <w:tblPrEx>
          <w:tblLayout w:type="fixed"/>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序号</w:t>
            </w: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条款名称</w:t>
            </w:r>
          </w:p>
        </w:tc>
        <w:tc>
          <w:tcPr>
            <w:tcW w:w="71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编列内容</w:t>
            </w:r>
          </w:p>
        </w:tc>
      </w:tr>
      <w:tr>
        <w:tblPrEx>
          <w:tblLayout w:type="fixed"/>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1"/>
              </w:numPr>
              <w:jc w:val="center"/>
              <w:rPr>
                <w:rFonts w:ascii="宋体" w:hAnsi="宋体" w:cs="宋体"/>
                <w:color w:val="auto"/>
                <w:kern w:val="0"/>
                <w:sz w:val="22"/>
                <w:szCs w:val="22"/>
                <w:highlight w:val="none"/>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项目名称</w:t>
            </w:r>
          </w:p>
        </w:tc>
        <w:tc>
          <w:tcPr>
            <w:tcW w:w="7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快鹿集团安保服务采购</w:t>
            </w:r>
          </w:p>
        </w:tc>
      </w:tr>
      <w:tr>
        <w:tblPrEx>
          <w:tblLayout w:type="fixed"/>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1"/>
              </w:numPr>
              <w:jc w:val="center"/>
              <w:rPr>
                <w:rFonts w:ascii="宋体" w:hAnsi="宋体" w:cs="宋体"/>
                <w:color w:val="auto"/>
                <w:kern w:val="0"/>
                <w:sz w:val="22"/>
                <w:szCs w:val="22"/>
                <w:highlight w:val="none"/>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采购编号</w:t>
            </w:r>
          </w:p>
        </w:tc>
        <w:tc>
          <w:tcPr>
            <w:tcW w:w="7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ins w:id="46" w:author="水淼淼" w:date="2021-09-07T15:16:19Z">
              <w:r>
                <w:rPr>
                  <w:rFonts w:hint="eastAsia" w:ascii="宋体" w:hAnsi="宋体" w:cs="宋体"/>
                  <w:bCs/>
                  <w:color w:val="auto"/>
                  <w:kern w:val="0"/>
                  <w:sz w:val="22"/>
                  <w:szCs w:val="22"/>
                  <w:highlight w:val="none"/>
                </w:rPr>
                <w:t>GYJT-2021-14</w:t>
              </w:r>
            </w:ins>
            <w:del w:id="47" w:author="水淼淼" w:date="2021-09-07T15:16:19Z">
              <w:r>
                <w:rPr>
                  <w:rFonts w:hint="eastAsia" w:ascii="宋体" w:hAnsi="宋体" w:cs="宋体"/>
                  <w:color w:val="auto"/>
                  <w:kern w:val="0"/>
                  <w:sz w:val="22"/>
                  <w:szCs w:val="22"/>
                  <w:highlight w:val="none"/>
                </w:rPr>
                <w:delText>ZJXC-Q-LC2021090101</w:delText>
              </w:r>
            </w:del>
          </w:p>
        </w:tc>
      </w:tr>
      <w:tr>
        <w:tblPrEx>
          <w:tblLayout w:type="fixed"/>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1"/>
              </w:numPr>
              <w:jc w:val="center"/>
              <w:rPr>
                <w:rFonts w:ascii="宋体" w:hAnsi="宋体" w:cs="宋体"/>
                <w:color w:val="auto"/>
                <w:kern w:val="0"/>
                <w:sz w:val="22"/>
                <w:szCs w:val="22"/>
                <w:highlight w:val="none"/>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采购人</w:t>
            </w:r>
          </w:p>
        </w:tc>
        <w:tc>
          <w:tcPr>
            <w:tcW w:w="7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ascii="宋体" w:hAnsi="宋体" w:cs="宋体"/>
                <w:color w:val="auto"/>
                <w:kern w:val="0"/>
                <w:sz w:val="22"/>
                <w:szCs w:val="22"/>
                <w:highlight w:val="none"/>
              </w:rPr>
              <w:t>采购人名称：</w:t>
            </w:r>
            <w:r>
              <w:rPr>
                <w:rFonts w:hint="eastAsia" w:ascii="宋体" w:hAnsi="宋体" w:cs="宋体"/>
                <w:color w:val="auto"/>
                <w:kern w:val="0"/>
                <w:sz w:val="22"/>
                <w:szCs w:val="22"/>
                <w:highlight w:val="none"/>
              </w:rPr>
              <w:t>温州快鹿集团公司</w:t>
            </w:r>
          </w:p>
          <w:p>
            <w:pPr>
              <w:rPr>
                <w:rFonts w:ascii="宋体" w:hAnsi="宋体" w:cs="宋体"/>
                <w:color w:val="auto"/>
                <w:kern w:val="0"/>
                <w:sz w:val="22"/>
                <w:szCs w:val="22"/>
                <w:highlight w:val="none"/>
              </w:rPr>
            </w:pPr>
            <w:r>
              <w:rPr>
                <w:rFonts w:ascii="宋体" w:hAnsi="宋体" w:cs="宋体"/>
                <w:color w:val="auto"/>
                <w:kern w:val="0"/>
                <w:sz w:val="22"/>
                <w:szCs w:val="22"/>
                <w:highlight w:val="none"/>
              </w:rPr>
              <w:t>地  址：</w:t>
            </w:r>
            <w:r>
              <w:rPr>
                <w:rFonts w:hint="eastAsia" w:ascii="宋体" w:hAnsi="宋体" w:cs="宋体"/>
                <w:color w:val="auto"/>
                <w:kern w:val="0"/>
                <w:sz w:val="22"/>
                <w:szCs w:val="22"/>
                <w:highlight w:val="none"/>
              </w:rPr>
              <w:t>浙江省温州市龙湾区蒲州街道兴平路29号</w:t>
            </w:r>
          </w:p>
          <w:p>
            <w:pPr>
              <w:rPr>
                <w:rFonts w:ascii="宋体" w:hAnsi="宋体" w:cs="宋体"/>
                <w:color w:val="auto"/>
                <w:kern w:val="0"/>
                <w:sz w:val="22"/>
                <w:szCs w:val="22"/>
                <w:highlight w:val="none"/>
              </w:rPr>
            </w:pPr>
            <w:r>
              <w:rPr>
                <w:rFonts w:ascii="宋体" w:hAnsi="宋体" w:cs="宋体"/>
                <w:color w:val="auto"/>
                <w:kern w:val="0"/>
                <w:sz w:val="22"/>
                <w:szCs w:val="22"/>
                <w:highlight w:val="none"/>
              </w:rPr>
              <w:t>联系人：</w:t>
            </w:r>
            <w:r>
              <w:rPr>
                <w:rFonts w:hint="eastAsia" w:ascii="宋体" w:hAnsi="宋体" w:cs="宋体"/>
                <w:color w:val="auto"/>
                <w:kern w:val="0"/>
                <w:sz w:val="22"/>
                <w:szCs w:val="22"/>
                <w:highlight w:val="none"/>
              </w:rPr>
              <w:t xml:space="preserve">杨增辉 </w:t>
            </w:r>
            <w:r>
              <w:rPr>
                <w:rFonts w:ascii="宋体" w:hAnsi="宋体" w:cs="宋体"/>
                <w:color w:val="auto"/>
                <w:kern w:val="0"/>
                <w:sz w:val="22"/>
                <w:szCs w:val="22"/>
                <w:highlight w:val="none"/>
              </w:rPr>
              <w:t xml:space="preserve"> </w:t>
            </w:r>
          </w:p>
          <w:p>
            <w:pPr>
              <w:rPr>
                <w:rFonts w:ascii="宋体" w:hAnsi="宋体" w:cs="宋体"/>
                <w:color w:val="auto"/>
                <w:kern w:val="0"/>
                <w:sz w:val="22"/>
                <w:szCs w:val="22"/>
                <w:highlight w:val="none"/>
              </w:rPr>
            </w:pPr>
            <w:r>
              <w:rPr>
                <w:rFonts w:ascii="宋体" w:hAnsi="宋体" w:cs="宋体"/>
                <w:color w:val="auto"/>
                <w:kern w:val="0"/>
                <w:sz w:val="22"/>
                <w:szCs w:val="22"/>
                <w:highlight w:val="none"/>
              </w:rPr>
              <w:t>联系电话：</w:t>
            </w:r>
            <w:r>
              <w:rPr>
                <w:rFonts w:hint="eastAsia" w:ascii="宋体" w:hAnsi="宋体" w:cs="宋体"/>
                <w:color w:val="auto"/>
                <w:kern w:val="0"/>
                <w:sz w:val="22"/>
                <w:szCs w:val="22"/>
                <w:highlight w:val="none"/>
              </w:rPr>
              <w:t xml:space="preserve"> 0577-56812798</w:t>
            </w:r>
          </w:p>
        </w:tc>
      </w:tr>
      <w:tr>
        <w:tblPrEx>
          <w:tblLayout w:type="fixed"/>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1"/>
              </w:numPr>
              <w:jc w:val="center"/>
              <w:rPr>
                <w:rFonts w:ascii="宋体" w:hAnsi="宋体" w:cs="宋体"/>
                <w:color w:val="auto"/>
                <w:kern w:val="0"/>
                <w:sz w:val="22"/>
                <w:szCs w:val="22"/>
                <w:highlight w:val="none"/>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采购代理机构</w:t>
            </w:r>
          </w:p>
        </w:tc>
        <w:tc>
          <w:tcPr>
            <w:tcW w:w="7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代理机构名称：浙江信诚项目管理有限公司</w:t>
            </w:r>
          </w:p>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代理机构地址：温州市龙湾区文会路19号绿森数字产业园413室</w:t>
            </w:r>
          </w:p>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联系人：周先生</w:t>
            </w:r>
          </w:p>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联系电话：0577-88875876、13967777378  邮箱：</w:t>
            </w:r>
            <w:r>
              <w:rPr>
                <w:color w:val="auto"/>
                <w:highlight w:val="none"/>
              </w:rPr>
              <w:fldChar w:fldCharType="begin"/>
            </w:r>
            <w:r>
              <w:rPr>
                <w:color w:val="auto"/>
                <w:highlight w:val="none"/>
              </w:rPr>
              <w:instrText xml:space="preserve"> HYPERLINK "mailto:517411407@qq.com" </w:instrText>
            </w:r>
            <w:r>
              <w:rPr>
                <w:color w:val="auto"/>
                <w:highlight w:val="none"/>
              </w:rPr>
              <w:fldChar w:fldCharType="separate"/>
            </w:r>
            <w:r>
              <w:rPr>
                <w:rFonts w:hint="eastAsia" w:ascii="宋体" w:hAnsi="宋体" w:cs="宋体"/>
                <w:color w:val="auto"/>
                <w:kern w:val="0"/>
                <w:sz w:val="22"/>
                <w:szCs w:val="22"/>
                <w:highlight w:val="none"/>
              </w:rPr>
              <w:t>43397725@qq.com</w:t>
            </w:r>
            <w:r>
              <w:rPr>
                <w:rFonts w:hint="eastAsia" w:ascii="宋体" w:hAnsi="宋体" w:cs="宋体"/>
                <w:color w:val="auto"/>
                <w:kern w:val="0"/>
                <w:sz w:val="22"/>
                <w:szCs w:val="22"/>
                <w:highlight w:val="none"/>
              </w:rPr>
              <w:fldChar w:fldCharType="end"/>
            </w:r>
          </w:p>
        </w:tc>
      </w:tr>
      <w:tr>
        <w:tblPrEx>
          <w:tblLayout w:type="fixed"/>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1"/>
              </w:numPr>
              <w:jc w:val="center"/>
              <w:rPr>
                <w:rFonts w:ascii="宋体" w:hAnsi="宋体" w:cs="宋体"/>
                <w:color w:val="auto"/>
                <w:kern w:val="0"/>
                <w:sz w:val="22"/>
                <w:szCs w:val="22"/>
                <w:highlight w:val="none"/>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预算金额</w:t>
            </w:r>
          </w:p>
        </w:tc>
        <w:tc>
          <w:tcPr>
            <w:tcW w:w="71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人民币75万元整                            </w:t>
            </w:r>
          </w:p>
        </w:tc>
      </w:tr>
      <w:tr>
        <w:tblPrEx>
          <w:tblLayout w:type="fixed"/>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1"/>
              </w:numPr>
              <w:jc w:val="center"/>
              <w:rPr>
                <w:rFonts w:ascii="宋体" w:hAnsi="宋体" w:cs="宋体"/>
                <w:color w:val="auto"/>
                <w:kern w:val="0"/>
                <w:sz w:val="22"/>
                <w:szCs w:val="22"/>
                <w:highlight w:val="none"/>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采购内容</w:t>
            </w:r>
          </w:p>
        </w:tc>
        <w:tc>
          <w:tcPr>
            <w:tcW w:w="7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bCs/>
                <w:color w:val="auto"/>
                <w:kern w:val="0"/>
                <w:sz w:val="22"/>
                <w:szCs w:val="22"/>
                <w:highlight w:val="none"/>
              </w:rPr>
              <w:t>温州快鹿集团公司安保外包服务，</w:t>
            </w:r>
            <w:r>
              <w:rPr>
                <w:rFonts w:hint="eastAsia" w:ascii="宋体" w:hAnsi="宋体" w:cs="宋体"/>
                <w:color w:val="auto"/>
                <w:sz w:val="22"/>
                <w:szCs w:val="22"/>
                <w:highlight w:val="none"/>
              </w:rPr>
              <w:t>具体采购内容及详细技术要求见采购文件相关部分。</w:t>
            </w:r>
          </w:p>
        </w:tc>
      </w:tr>
      <w:tr>
        <w:tblPrEx>
          <w:tblLayout w:type="fixed"/>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1"/>
              </w:numPr>
              <w:jc w:val="center"/>
              <w:rPr>
                <w:rFonts w:ascii="宋体" w:hAnsi="宋体" w:cs="宋体"/>
                <w:color w:val="auto"/>
                <w:kern w:val="0"/>
                <w:sz w:val="22"/>
                <w:szCs w:val="22"/>
                <w:highlight w:val="none"/>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投标人资格要求</w:t>
            </w:r>
          </w:p>
        </w:tc>
        <w:tc>
          <w:tcPr>
            <w:tcW w:w="7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见采购公告</w:t>
            </w:r>
          </w:p>
        </w:tc>
      </w:tr>
      <w:tr>
        <w:tblPrEx>
          <w:tblLayout w:type="fixed"/>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1"/>
              </w:numPr>
              <w:jc w:val="center"/>
              <w:rPr>
                <w:rFonts w:ascii="宋体" w:hAnsi="宋体" w:cs="宋体"/>
                <w:color w:val="auto"/>
                <w:kern w:val="0"/>
                <w:sz w:val="22"/>
                <w:szCs w:val="22"/>
                <w:highlight w:val="none"/>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是否接受联合体投标</w:t>
            </w:r>
          </w:p>
        </w:tc>
        <w:tc>
          <w:tcPr>
            <w:tcW w:w="7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b/>
                <w:color w:val="auto"/>
                <w:kern w:val="0"/>
                <w:sz w:val="22"/>
                <w:szCs w:val="22"/>
                <w:highlight w:val="none"/>
              </w:rPr>
              <w:sym w:font="Wingdings" w:char="F0FE"/>
            </w:r>
            <w:r>
              <w:rPr>
                <w:rFonts w:hint="eastAsia" w:ascii="宋体" w:hAnsi="宋体" w:cs="宋体"/>
                <w:color w:val="auto"/>
                <w:kern w:val="0"/>
                <w:sz w:val="22"/>
                <w:szCs w:val="22"/>
                <w:highlight w:val="none"/>
              </w:rPr>
              <w:t>不接受</w:t>
            </w:r>
          </w:p>
        </w:tc>
      </w:tr>
      <w:tr>
        <w:tblPrEx>
          <w:tblLayout w:type="fixed"/>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1"/>
              </w:numPr>
              <w:jc w:val="center"/>
              <w:rPr>
                <w:rFonts w:ascii="宋体" w:hAnsi="宋体" w:cs="宋体"/>
                <w:color w:val="auto"/>
                <w:kern w:val="0"/>
                <w:sz w:val="22"/>
                <w:szCs w:val="22"/>
                <w:highlight w:val="none"/>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现场考察</w:t>
            </w:r>
          </w:p>
        </w:tc>
        <w:tc>
          <w:tcPr>
            <w:tcW w:w="7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b/>
                <w:snapToGrid w:val="0"/>
                <w:color w:val="auto"/>
                <w:sz w:val="22"/>
                <w:szCs w:val="22"/>
                <w:highlight w:val="none"/>
              </w:rPr>
              <w:sym w:font="Wingdings" w:char="F0FE"/>
            </w:r>
            <w:r>
              <w:rPr>
                <w:rFonts w:hint="eastAsia" w:ascii="宋体" w:hAnsi="宋体" w:cs="宋体"/>
                <w:color w:val="auto"/>
                <w:kern w:val="0"/>
                <w:sz w:val="22"/>
                <w:szCs w:val="22"/>
                <w:highlight w:val="none"/>
              </w:rPr>
              <w:t>不组织</w:t>
            </w:r>
          </w:p>
        </w:tc>
      </w:tr>
      <w:tr>
        <w:tblPrEx>
          <w:tblLayout w:type="fixed"/>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1"/>
              </w:numPr>
              <w:jc w:val="center"/>
              <w:rPr>
                <w:rFonts w:ascii="宋体" w:hAnsi="宋体" w:cs="宋体"/>
                <w:color w:val="auto"/>
                <w:kern w:val="0"/>
                <w:sz w:val="22"/>
                <w:szCs w:val="22"/>
                <w:highlight w:val="none"/>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投标预备会</w:t>
            </w:r>
          </w:p>
        </w:tc>
        <w:tc>
          <w:tcPr>
            <w:tcW w:w="7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b/>
                <w:snapToGrid w:val="0"/>
                <w:color w:val="auto"/>
                <w:sz w:val="22"/>
                <w:szCs w:val="22"/>
                <w:highlight w:val="none"/>
              </w:rPr>
              <w:sym w:font="Wingdings" w:char="F0FE"/>
            </w:r>
            <w:r>
              <w:rPr>
                <w:rFonts w:hint="eastAsia" w:ascii="宋体" w:hAnsi="宋体" w:cs="宋体"/>
                <w:color w:val="auto"/>
                <w:kern w:val="0"/>
                <w:sz w:val="22"/>
                <w:szCs w:val="22"/>
                <w:highlight w:val="none"/>
              </w:rPr>
              <w:t>不召开</w:t>
            </w:r>
          </w:p>
        </w:tc>
      </w:tr>
      <w:tr>
        <w:tblPrEx>
          <w:tblLayout w:type="fixed"/>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1"/>
              </w:numPr>
              <w:jc w:val="center"/>
              <w:rPr>
                <w:rFonts w:ascii="宋体" w:hAnsi="宋体" w:cs="宋体"/>
                <w:color w:val="auto"/>
                <w:kern w:val="0"/>
                <w:sz w:val="22"/>
                <w:szCs w:val="22"/>
                <w:highlight w:val="none"/>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是否允许递交备选投标方案</w:t>
            </w:r>
          </w:p>
        </w:tc>
        <w:tc>
          <w:tcPr>
            <w:tcW w:w="7168"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cs="宋体"/>
                <w:color w:val="auto"/>
                <w:sz w:val="22"/>
                <w:szCs w:val="22"/>
                <w:highlight w:val="none"/>
              </w:rPr>
            </w:pPr>
            <w:r>
              <w:rPr>
                <w:rFonts w:hint="eastAsia" w:ascii="宋体" w:hAnsi="宋体" w:cs="宋体"/>
                <w:b/>
                <w:snapToGrid w:val="0"/>
                <w:color w:val="auto"/>
                <w:sz w:val="22"/>
                <w:szCs w:val="22"/>
                <w:highlight w:val="none"/>
              </w:rPr>
              <w:sym w:font="Wingdings" w:char="F0FE"/>
            </w:r>
            <w:r>
              <w:rPr>
                <w:rFonts w:hint="eastAsia" w:ascii="宋体" w:hAnsi="宋体" w:cs="宋体"/>
                <w:color w:val="auto"/>
                <w:kern w:val="0"/>
                <w:sz w:val="22"/>
                <w:szCs w:val="22"/>
                <w:highlight w:val="none"/>
              </w:rPr>
              <w:t>不允许</w:t>
            </w:r>
          </w:p>
        </w:tc>
      </w:tr>
      <w:tr>
        <w:tblPrEx>
          <w:tblLayout w:type="fixed"/>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1"/>
              </w:numPr>
              <w:jc w:val="center"/>
              <w:rPr>
                <w:rFonts w:ascii="宋体" w:hAnsi="宋体" w:cs="宋体"/>
                <w:color w:val="auto"/>
                <w:kern w:val="0"/>
                <w:sz w:val="22"/>
                <w:szCs w:val="22"/>
                <w:highlight w:val="none"/>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是否退还投标文件</w:t>
            </w:r>
          </w:p>
        </w:tc>
        <w:tc>
          <w:tcPr>
            <w:tcW w:w="7168" w:type="dxa"/>
            <w:tcBorders>
              <w:top w:val="single" w:color="auto" w:sz="4" w:space="0"/>
              <w:left w:val="single" w:color="auto" w:sz="4" w:space="0"/>
              <w:bottom w:val="single" w:color="auto" w:sz="4" w:space="0"/>
              <w:right w:val="single" w:color="auto" w:sz="4" w:space="0"/>
            </w:tcBorders>
            <w:vAlign w:val="center"/>
          </w:tcPr>
          <w:p>
            <w:pPr>
              <w:widowControl/>
              <w:adjustRightInd w:val="0"/>
              <w:jc w:val="left"/>
              <w:textAlignment w:val="baseline"/>
              <w:rPr>
                <w:rFonts w:ascii="宋体" w:hAnsi="宋体" w:cs="宋体"/>
                <w:color w:val="auto"/>
                <w:kern w:val="0"/>
                <w:sz w:val="22"/>
                <w:szCs w:val="22"/>
                <w:highlight w:val="none"/>
              </w:rPr>
            </w:pPr>
            <w:r>
              <w:rPr>
                <w:rFonts w:hint="eastAsia" w:ascii="宋体" w:hAnsi="宋体" w:cs="宋体"/>
                <w:b/>
                <w:snapToGrid w:val="0"/>
                <w:color w:val="auto"/>
                <w:sz w:val="22"/>
                <w:szCs w:val="22"/>
                <w:highlight w:val="none"/>
              </w:rPr>
              <w:sym w:font="Wingdings" w:char="F0FE"/>
            </w:r>
            <w:r>
              <w:rPr>
                <w:rFonts w:hint="eastAsia" w:ascii="宋体" w:hAnsi="宋体" w:cs="宋体"/>
                <w:color w:val="auto"/>
                <w:kern w:val="0"/>
                <w:sz w:val="22"/>
                <w:szCs w:val="22"/>
                <w:highlight w:val="none"/>
              </w:rPr>
              <w:t>否，证照、证件和证明文件原件除外</w:t>
            </w:r>
          </w:p>
        </w:tc>
      </w:tr>
      <w:tr>
        <w:tblPrEx>
          <w:tblLayout w:type="fixed"/>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1"/>
              </w:numPr>
              <w:jc w:val="center"/>
              <w:rPr>
                <w:rFonts w:ascii="宋体" w:hAnsi="宋体" w:cs="宋体"/>
                <w:color w:val="auto"/>
                <w:kern w:val="0"/>
                <w:sz w:val="22"/>
                <w:szCs w:val="22"/>
                <w:highlight w:val="none"/>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偏离</w:t>
            </w:r>
          </w:p>
        </w:tc>
        <w:tc>
          <w:tcPr>
            <w:tcW w:w="7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偏差允许幅度及其处理方法：允许细微偏差，不允许重大偏差。由评标委员会判断，细微偏差要求投标人在评标结束前予以澄清、说明或补正，不接受要求进行的，评标委员会有权做无效标处理，详见第一部分投标人须知条款“23.</w:t>
            </w:r>
            <w:r>
              <w:rPr>
                <w:rFonts w:hint="eastAsia" w:ascii="宋体" w:hAnsi="宋体" w:cs="宋体"/>
                <w:color w:val="auto"/>
                <w:sz w:val="22"/>
                <w:szCs w:val="22"/>
                <w:highlight w:val="none"/>
              </w:rPr>
              <w:t>投标文件的澄清</w:t>
            </w:r>
            <w:r>
              <w:rPr>
                <w:rFonts w:hint="eastAsia" w:ascii="宋体" w:hAnsi="宋体" w:cs="宋体"/>
                <w:color w:val="auto"/>
                <w:kern w:val="0"/>
                <w:sz w:val="22"/>
                <w:szCs w:val="22"/>
                <w:highlight w:val="none"/>
              </w:rPr>
              <w:t>”</w:t>
            </w:r>
          </w:p>
        </w:tc>
      </w:tr>
      <w:tr>
        <w:tblPrEx>
          <w:tblLayout w:type="fixed"/>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1"/>
              </w:numPr>
              <w:jc w:val="center"/>
              <w:rPr>
                <w:rFonts w:ascii="宋体" w:hAnsi="宋体" w:cs="宋体"/>
                <w:color w:val="auto"/>
                <w:kern w:val="0"/>
                <w:sz w:val="22"/>
                <w:szCs w:val="22"/>
                <w:highlight w:val="none"/>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投标有效期</w:t>
            </w:r>
          </w:p>
        </w:tc>
        <w:tc>
          <w:tcPr>
            <w:tcW w:w="7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投标文件自投标文件递交截止时间起生效，有效期90天。</w:t>
            </w:r>
          </w:p>
        </w:tc>
      </w:tr>
      <w:tr>
        <w:tblPrEx>
          <w:tblLayout w:type="fixed"/>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1"/>
              </w:numPr>
              <w:jc w:val="center"/>
              <w:rPr>
                <w:rFonts w:ascii="宋体" w:hAnsi="宋体" w:cs="宋体"/>
                <w:color w:val="auto"/>
                <w:kern w:val="0"/>
                <w:sz w:val="22"/>
                <w:szCs w:val="22"/>
                <w:highlight w:val="none"/>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投标保证金</w:t>
            </w:r>
          </w:p>
        </w:tc>
        <w:tc>
          <w:tcPr>
            <w:tcW w:w="7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auto"/>
                <w:kern w:val="0"/>
                <w:sz w:val="22"/>
                <w:szCs w:val="22"/>
                <w:highlight w:val="none"/>
              </w:rPr>
            </w:pPr>
            <w:r>
              <w:rPr>
                <w:rFonts w:hint="eastAsia" w:ascii="宋体" w:hAnsi="宋体" w:cs="宋体"/>
                <w:color w:val="auto"/>
                <w:kern w:val="0"/>
                <w:sz w:val="22"/>
                <w:szCs w:val="22"/>
                <w:highlight w:val="none"/>
              </w:rPr>
              <w:t>见采购公告</w:t>
            </w:r>
          </w:p>
        </w:tc>
      </w:tr>
      <w:tr>
        <w:tblPrEx>
          <w:tblLayout w:type="fixed"/>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1"/>
              </w:numPr>
              <w:jc w:val="center"/>
              <w:rPr>
                <w:rFonts w:ascii="宋体" w:hAnsi="宋体" w:cs="宋体"/>
                <w:color w:val="auto"/>
                <w:kern w:val="0"/>
                <w:sz w:val="22"/>
                <w:szCs w:val="22"/>
                <w:highlight w:val="none"/>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auto"/>
                <w:sz w:val="22"/>
                <w:szCs w:val="22"/>
                <w:highlight w:val="none"/>
              </w:rPr>
            </w:pPr>
            <w:r>
              <w:rPr>
                <w:rFonts w:hint="eastAsia" w:ascii="宋体" w:hAnsi="宋体" w:cs="宋体"/>
                <w:bCs/>
                <w:color w:val="auto"/>
                <w:sz w:val="22"/>
                <w:szCs w:val="22"/>
                <w:highlight w:val="none"/>
              </w:rPr>
              <w:t>投标文件份数</w:t>
            </w:r>
          </w:p>
        </w:tc>
        <w:tc>
          <w:tcPr>
            <w:tcW w:w="7168"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1、提供技术资信标一式陆份，正本壹份，副本伍份；</w:t>
            </w:r>
          </w:p>
          <w:p>
            <w:pPr>
              <w:rPr>
                <w:rFonts w:eastAsia="宋体,Verdana,Arial"/>
                <w:color w:val="auto"/>
                <w:highlight w:val="none"/>
              </w:rPr>
            </w:pPr>
            <w:r>
              <w:rPr>
                <w:rFonts w:hint="eastAsia"/>
                <w:color w:val="auto"/>
                <w:highlight w:val="none"/>
              </w:rPr>
              <w:t>2、提供商务（报价）标一式陆份，正本壹份，副本伍份。</w:t>
            </w:r>
          </w:p>
        </w:tc>
      </w:tr>
      <w:tr>
        <w:tblPrEx>
          <w:tblLayout w:type="fixed"/>
          <w:tblCellMar>
            <w:top w:w="0" w:type="dxa"/>
            <w:left w:w="108" w:type="dxa"/>
            <w:bottom w:w="0" w:type="dxa"/>
            <w:right w:w="108" w:type="dxa"/>
          </w:tblCellMar>
        </w:tblPrEx>
        <w:trPr>
          <w:trHeight w:val="830"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1"/>
              </w:numPr>
              <w:jc w:val="center"/>
              <w:rPr>
                <w:rFonts w:ascii="宋体" w:hAnsi="宋体" w:cs="宋体"/>
                <w:color w:val="auto"/>
                <w:kern w:val="0"/>
                <w:sz w:val="22"/>
                <w:szCs w:val="22"/>
                <w:highlight w:val="none"/>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投标文件递交截止时间及地点</w:t>
            </w:r>
          </w:p>
        </w:tc>
        <w:tc>
          <w:tcPr>
            <w:tcW w:w="7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见采购公告</w:t>
            </w:r>
          </w:p>
        </w:tc>
      </w:tr>
      <w:tr>
        <w:tblPrEx>
          <w:tblLayout w:type="fixed"/>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1"/>
              </w:numPr>
              <w:jc w:val="center"/>
              <w:rPr>
                <w:rFonts w:ascii="宋体" w:hAnsi="宋体" w:cs="宋体"/>
                <w:color w:val="auto"/>
                <w:kern w:val="0"/>
                <w:sz w:val="22"/>
                <w:szCs w:val="22"/>
                <w:highlight w:val="none"/>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开标时间</w:t>
            </w:r>
          </w:p>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和地点</w:t>
            </w:r>
          </w:p>
        </w:tc>
        <w:tc>
          <w:tcPr>
            <w:tcW w:w="7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见采购公告</w:t>
            </w:r>
          </w:p>
        </w:tc>
      </w:tr>
      <w:tr>
        <w:tblPrEx>
          <w:tblLayout w:type="fixed"/>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1"/>
              </w:numPr>
              <w:jc w:val="center"/>
              <w:rPr>
                <w:rFonts w:ascii="宋体" w:hAnsi="宋体" w:cs="宋体"/>
                <w:color w:val="auto"/>
                <w:kern w:val="0"/>
                <w:sz w:val="22"/>
                <w:szCs w:val="22"/>
                <w:highlight w:val="none"/>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开评标程序</w:t>
            </w:r>
          </w:p>
        </w:tc>
        <w:tc>
          <w:tcPr>
            <w:tcW w:w="7168" w:type="dxa"/>
            <w:tcBorders>
              <w:top w:val="single" w:color="auto" w:sz="4" w:space="0"/>
              <w:left w:val="single" w:color="auto" w:sz="4" w:space="0"/>
              <w:bottom w:val="single" w:color="auto" w:sz="4" w:space="0"/>
              <w:right w:val="single" w:color="auto" w:sz="4" w:space="0"/>
            </w:tcBorders>
            <w:vAlign w:val="center"/>
          </w:tcPr>
          <w:p>
            <w:pPr>
              <w:pStyle w:val="32"/>
              <w:rPr>
                <w:rFonts w:ascii="宋体" w:hAnsi="宋体" w:cs="宋体"/>
                <w:color w:val="auto"/>
                <w:sz w:val="22"/>
                <w:szCs w:val="22"/>
                <w:highlight w:val="none"/>
              </w:rPr>
            </w:pPr>
            <w:r>
              <w:rPr>
                <w:rFonts w:hint="eastAsia" w:ascii="宋体" w:hAnsi="宋体" w:cs="宋体"/>
                <w:color w:val="auto"/>
                <w:sz w:val="22"/>
                <w:szCs w:val="22"/>
                <w:highlight w:val="none"/>
              </w:rPr>
              <w:t>（1）宣布开标纪律；</w:t>
            </w:r>
          </w:p>
          <w:p>
            <w:pPr>
              <w:pStyle w:val="32"/>
              <w:rPr>
                <w:rFonts w:ascii="宋体" w:hAnsi="宋体" w:cs="宋体"/>
                <w:color w:val="auto"/>
                <w:sz w:val="22"/>
                <w:szCs w:val="22"/>
                <w:highlight w:val="none"/>
              </w:rPr>
            </w:pPr>
            <w:r>
              <w:rPr>
                <w:rFonts w:hint="eastAsia" w:ascii="宋体" w:hAnsi="宋体" w:cs="宋体"/>
                <w:color w:val="auto"/>
                <w:sz w:val="22"/>
                <w:szCs w:val="22"/>
                <w:highlight w:val="none"/>
              </w:rPr>
              <w:t>（2）公布在投标截止时间前递交投标文件的投标人名称，并点名确认投标人是否派授权代表到场；</w:t>
            </w:r>
          </w:p>
          <w:p>
            <w:pPr>
              <w:pStyle w:val="32"/>
              <w:rPr>
                <w:rFonts w:ascii="宋体" w:hAnsi="宋体" w:cs="宋体"/>
                <w:color w:val="auto"/>
                <w:sz w:val="22"/>
                <w:szCs w:val="22"/>
                <w:highlight w:val="none"/>
              </w:rPr>
            </w:pPr>
            <w:r>
              <w:rPr>
                <w:rFonts w:hint="eastAsia" w:ascii="宋体" w:hAnsi="宋体" w:cs="宋体"/>
                <w:color w:val="auto"/>
                <w:sz w:val="22"/>
                <w:szCs w:val="22"/>
                <w:highlight w:val="none"/>
              </w:rPr>
              <w:t>（3）宣布唱标人、记录人、监督人员等有关人员姓名；</w:t>
            </w:r>
          </w:p>
          <w:p>
            <w:pPr>
              <w:pStyle w:val="32"/>
              <w:rPr>
                <w:rFonts w:ascii="宋体" w:hAnsi="宋体" w:cs="宋体"/>
                <w:color w:val="auto"/>
                <w:sz w:val="22"/>
                <w:szCs w:val="22"/>
                <w:highlight w:val="none"/>
              </w:rPr>
            </w:pPr>
            <w:r>
              <w:rPr>
                <w:rFonts w:hint="eastAsia" w:ascii="宋体" w:hAnsi="宋体" w:cs="宋体"/>
                <w:color w:val="auto"/>
                <w:sz w:val="22"/>
                <w:szCs w:val="22"/>
                <w:highlight w:val="none"/>
              </w:rPr>
              <w:t>（4）密封情况检查：由监督人员或投标人推选的代表检查投标文件密封情况；</w:t>
            </w:r>
          </w:p>
          <w:p>
            <w:pPr>
              <w:pStyle w:val="32"/>
              <w:rPr>
                <w:rFonts w:ascii="宋体" w:hAnsi="宋体" w:cs="宋体"/>
                <w:color w:val="auto"/>
                <w:sz w:val="22"/>
                <w:szCs w:val="22"/>
                <w:highlight w:val="none"/>
              </w:rPr>
            </w:pPr>
            <w:r>
              <w:rPr>
                <w:rFonts w:hint="eastAsia" w:ascii="宋体" w:hAnsi="宋体" w:cs="宋体"/>
                <w:color w:val="auto"/>
                <w:sz w:val="22"/>
                <w:szCs w:val="22"/>
                <w:highlight w:val="none"/>
              </w:rPr>
              <w:t>（5）开标顺序：投标人送达投标文件的正序；分别开启技术资信标、开启商务（报价）标；</w:t>
            </w:r>
          </w:p>
          <w:p>
            <w:pPr>
              <w:pStyle w:val="32"/>
              <w:rPr>
                <w:rFonts w:ascii="宋体" w:hAnsi="宋体" w:cs="宋体"/>
                <w:color w:val="auto"/>
                <w:sz w:val="22"/>
                <w:szCs w:val="22"/>
                <w:highlight w:val="none"/>
              </w:rPr>
            </w:pPr>
            <w:r>
              <w:rPr>
                <w:rFonts w:hint="eastAsia" w:ascii="宋体" w:hAnsi="宋体" w:cs="宋体"/>
                <w:color w:val="auto"/>
                <w:sz w:val="22"/>
                <w:szCs w:val="22"/>
                <w:highlight w:val="none"/>
              </w:rPr>
              <w:t>（6）确认开标结果：投标人授权代表对开标记录进行当场校核及勘误，并签字确认；并同时由记录人、监督人当场签字确认；</w:t>
            </w:r>
          </w:p>
          <w:p>
            <w:pPr>
              <w:pStyle w:val="32"/>
              <w:rPr>
                <w:rFonts w:ascii="宋体" w:hAnsi="宋体" w:cs="宋体"/>
                <w:color w:val="auto"/>
                <w:sz w:val="22"/>
                <w:szCs w:val="22"/>
                <w:highlight w:val="none"/>
              </w:rPr>
            </w:pPr>
            <w:r>
              <w:rPr>
                <w:rFonts w:hint="eastAsia" w:ascii="宋体" w:hAnsi="宋体" w:cs="宋体"/>
                <w:color w:val="auto"/>
                <w:sz w:val="22"/>
                <w:szCs w:val="22"/>
                <w:highlight w:val="none"/>
              </w:rPr>
              <w:t>（7）宣布开标结束；</w:t>
            </w:r>
          </w:p>
          <w:p>
            <w:pPr>
              <w:pStyle w:val="32"/>
              <w:rPr>
                <w:rFonts w:ascii="宋体" w:hAnsi="宋体" w:cs="宋体"/>
                <w:color w:val="auto"/>
                <w:sz w:val="22"/>
                <w:szCs w:val="22"/>
                <w:highlight w:val="none"/>
              </w:rPr>
            </w:pPr>
            <w:r>
              <w:rPr>
                <w:rFonts w:hint="eastAsia" w:ascii="宋体" w:hAnsi="宋体" w:cs="宋体"/>
                <w:color w:val="auto"/>
                <w:sz w:val="22"/>
                <w:szCs w:val="22"/>
                <w:highlight w:val="none"/>
              </w:rPr>
              <w:t>（8）投标人授权代表未参加开标会议；未到场签字确认的，不影响开标，评标过程，视同认可开标结果；事后不得对采购相关人员、开标过程和开标结果提出异议；</w:t>
            </w:r>
          </w:p>
          <w:p>
            <w:pPr>
              <w:pStyle w:val="32"/>
              <w:rPr>
                <w:color w:val="auto"/>
                <w:highlight w:val="none"/>
              </w:rPr>
            </w:pPr>
            <w:r>
              <w:rPr>
                <w:rFonts w:hint="eastAsia" w:ascii="宋体" w:hAnsi="宋体" w:cs="宋体"/>
                <w:color w:val="auto"/>
                <w:sz w:val="22"/>
                <w:szCs w:val="22"/>
                <w:highlight w:val="none"/>
              </w:rPr>
              <w:t>（9）将开启的投标文件送交评标委员会评审。</w:t>
            </w:r>
          </w:p>
        </w:tc>
      </w:tr>
      <w:tr>
        <w:tblPrEx>
          <w:tblLayout w:type="fixed"/>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1"/>
              </w:numPr>
              <w:jc w:val="center"/>
              <w:rPr>
                <w:rFonts w:ascii="宋体" w:hAnsi="宋体" w:cs="宋体"/>
                <w:color w:val="auto"/>
                <w:kern w:val="0"/>
                <w:sz w:val="22"/>
                <w:szCs w:val="22"/>
                <w:highlight w:val="none"/>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评标委员会</w:t>
            </w:r>
          </w:p>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的组建</w:t>
            </w:r>
          </w:p>
        </w:tc>
        <w:tc>
          <w:tcPr>
            <w:tcW w:w="7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评标委员会成员由采购人代表和有关技术、经济等方面的专家组成，成员人数为5人及以上单数，其中技术、经济类专家不得少于总人数的2/3，除采购人代表外的专家将在浙江省政府采购网的评标专家库中随机抽取产生。</w:t>
            </w:r>
          </w:p>
        </w:tc>
      </w:tr>
      <w:tr>
        <w:tblPrEx>
          <w:tblLayout w:type="fixed"/>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1"/>
              </w:numPr>
              <w:jc w:val="center"/>
              <w:rPr>
                <w:rFonts w:ascii="宋体" w:hAnsi="宋体" w:cs="宋体"/>
                <w:color w:val="auto"/>
                <w:kern w:val="0"/>
                <w:sz w:val="22"/>
                <w:szCs w:val="22"/>
                <w:highlight w:val="none"/>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auto"/>
                <w:sz w:val="22"/>
                <w:szCs w:val="22"/>
                <w:highlight w:val="none"/>
              </w:rPr>
            </w:pPr>
            <w:r>
              <w:rPr>
                <w:rFonts w:hint="eastAsia" w:ascii="宋体" w:hAnsi="宋体" w:cs="宋体"/>
                <w:color w:val="auto"/>
                <w:kern w:val="0"/>
                <w:sz w:val="22"/>
                <w:szCs w:val="22"/>
                <w:highlight w:val="none"/>
              </w:rPr>
              <w:t>中标通知书及合同备案</w:t>
            </w:r>
          </w:p>
        </w:tc>
        <w:tc>
          <w:tcPr>
            <w:tcW w:w="7168"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宋体" w:hAnsi="宋体" w:cs="宋体"/>
                <w:bCs/>
                <w:snapToGrid w:val="0"/>
                <w:color w:val="auto"/>
                <w:sz w:val="22"/>
                <w:szCs w:val="22"/>
                <w:highlight w:val="none"/>
              </w:rPr>
            </w:pPr>
            <w:r>
              <w:rPr>
                <w:rFonts w:hint="eastAsia" w:ascii="宋体" w:hAnsi="宋体" w:cs="宋体"/>
                <w:bCs/>
                <w:snapToGrid w:val="0"/>
                <w:color w:val="auto"/>
                <w:sz w:val="22"/>
                <w:szCs w:val="22"/>
                <w:highlight w:val="none"/>
              </w:rPr>
              <w:t>（1）中标人须在收到中标通知书之日起30天内与采购人签订合同。</w:t>
            </w:r>
          </w:p>
          <w:p>
            <w:pPr>
              <w:rPr>
                <w:rFonts w:ascii="宋体" w:hAnsi="宋体" w:cs="宋体"/>
                <w:b/>
                <w:color w:val="auto"/>
                <w:sz w:val="22"/>
                <w:szCs w:val="22"/>
                <w:highlight w:val="none"/>
              </w:rPr>
            </w:pPr>
            <w:r>
              <w:rPr>
                <w:rFonts w:hint="eastAsia" w:ascii="宋体" w:hAnsi="宋体" w:cs="宋体"/>
                <w:bCs/>
                <w:snapToGrid w:val="0"/>
                <w:color w:val="auto"/>
                <w:sz w:val="22"/>
                <w:szCs w:val="22"/>
                <w:highlight w:val="none"/>
              </w:rPr>
              <w:t>（2）合同签订后，中标人应在2天内将合同扫描件电子版发给采购代理机构，由采购代理机构负责备案。邮箱：43397725@qq.com。</w:t>
            </w:r>
          </w:p>
        </w:tc>
      </w:tr>
      <w:tr>
        <w:tblPrEx>
          <w:tblLayout w:type="fixed"/>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1"/>
              </w:numPr>
              <w:jc w:val="center"/>
              <w:rPr>
                <w:rFonts w:ascii="宋体" w:hAnsi="宋体" w:cs="宋体"/>
                <w:color w:val="auto"/>
                <w:kern w:val="0"/>
                <w:sz w:val="22"/>
                <w:szCs w:val="22"/>
                <w:highlight w:val="none"/>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注意事项</w:t>
            </w:r>
          </w:p>
        </w:tc>
        <w:tc>
          <w:tcPr>
            <w:tcW w:w="7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1、采购文件、采购公告中如有前后不一致的，一律以本“投标人须知前附表”为准；</w:t>
            </w:r>
          </w:p>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2、本采购文件涉及的时间为“北京时间”；</w:t>
            </w:r>
          </w:p>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3、本采购文件涉及的货币为“人民币”；</w:t>
            </w:r>
          </w:p>
          <w:p>
            <w:pPr>
              <w:widowControl/>
              <w:ind w:right="62"/>
              <w:jc w:val="left"/>
              <w:rPr>
                <w:rFonts w:ascii="宋体" w:hAnsi="宋体" w:cs="宋体"/>
                <w:bCs/>
                <w:color w:val="auto"/>
                <w:kern w:val="0"/>
                <w:sz w:val="22"/>
                <w:szCs w:val="22"/>
                <w:highlight w:val="none"/>
              </w:rPr>
            </w:pPr>
            <w:r>
              <w:rPr>
                <w:rFonts w:hint="eastAsia" w:ascii="宋体" w:hAnsi="宋体" w:cs="宋体"/>
                <w:color w:val="auto"/>
                <w:kern w:val="0"/>
                <w:sz w:val="22"/>
                <w:szCs w:val="22"/>
                <w:highlight w:val="none"/>
              </w:rPr>
              <w:t>4、监督管理部门：</w:t>
            </w:r>
            <w:r>
              <w:rPr>
                <w:rFonts w:hint="eastAsia" w:ascii="宋体" w:hAnsi="宋体" w:cs="宋体"/>
                <w:bCs/>
                <w:color w:val="auto"/>
                <w:kern w:val="0"/>
                <w:sz w:val="22"/>
                <w:szCs w:val="22"/>
                <w:highlight w:val="none"/>
              </w:rPr>
              <w:t xml:space="preserve">温州快鹿集团公司纪检室  </w:t>
            </w:r>
          </w:p>
          <w:p>
            <w:pPr>
              <w:widowControl/>
              <w:ind w:right="62"/>
              <w:jc w:val="left"/>
              <w:rPr>
                <w:rFonts w:hint="eastAsia" w:ascii="宋体" w:hAnsi="宋体" w:eastAsia="宋体" w:cs="宋体"/>
                <w:color w:val="auto"/>
                <w:kern w:val="0"/>
                <w:sz w:val="22"/>
                <w:szCs w:val="22"/>
                <w:highlight w:val="none"/>
                <w:lang w:val="en-US" w:eastAsia="zh-CN"/>
              </w:rPr>
            </w:pPr>
            <w:r>
              <w:rPr>
                <w:rFonts w:hint="eastAsia" w:ascii="宋体" w:hAnsi="宋体" w:cs="宋体"/>
                <w:bCs/>
                <w:color w:val="auto"/>
                <w:kern w:val="0"/>
                <w:sz w:val="22"/>
                <w:szCs w:val="22"/>
                <w:highlight w:val="none"/>
              </w:rPr>
              <w:t>电话：0577-</w:t>
            </w:r>
            <w:del w:id="48" w:author="王莉" w:date="2021-09-07T16:33:06Z">
              <w:r>
                <w:rPr>
                  <w:rFonts w:hint="eastAsia" w:ascii="宋体" w:hAnsi="宋体" w:cs="宋体"/>
                  <w:bCs/>
                  <w:color w:val="auto"/>
                  <w:kern w:val="0"/>
                  <w:sz w:val="22"/>
                  <w:szCs w:val="22"/>
                  <w:highlight w:val="none"/>
                  <w:lang w:val="en-US"/>
                </w:rPr>
                <w:delText xml:space="preserve">88626013 </w:delText>
              </w:r>
            </w:del>
            <w:ins w:id="49" w:author="王莉" w:date="2021-09-07T16:33:06Z">
              <w:r>
                <w:rPr>
                  <w:rFonts w:hint="eastAsia" w:ascii="宋体" w:hAnsi="宋体" w:cs="宋体"/>
                  <w:bCs/>
                  <w:color w:val="auto"/>
                  <w:kern w:val="0"/>
                  <w:sz w:val="22"/>
                  <w:szCs w:val="22"/>
                  <w:highlight w:val="none"/>
                  <w:lang w:val="en-US" w:eastAsia="zh-CN"/>
                </w:rPr>
                <w:t>555</w:t>
              </w:r>
            </w:ins>
            <w:ins w:id="50" w:author="王莉" w:date="2021-09-07T16:33:07Z">
              <w:r>
                <w:rPr>
                  <w:rFonts w:hint="eastAsia" w:ascii="宋体" w:hAnsi="宋体" w:cs="宋体"/>
                  <w:bCs/>
                  <w:color w:val="auto"/>
                  <w:kern w:val="0"/>
                  <w:sz w:val="22"/>
                  <w:szCs w:val="22"/>
                  <w:highlight w:val="none"/>
                  <w:lang w:val="en-US" w:eastAsia="zh-CN"/>
                </w:rPr>
                <w:t>997</w:t>
              </w:r>
            </w:ins>
            <w:ins w:id="51" w:author="王莉" w:date="2021-09-07T16:33:08Z">
              <w:r>
                <w:rPr>
                  <w:rFonts w:hint="eastAsia" w:ascii="宋体" w:hAnsi="宋体" w:cs="宋体"/>
                  <w:bCs/>
                  <w:color w:val="auto"/>
                  <w:kern w:val="0"/>
                  <w:sz w:val="22"/>
                  <w:szCs w:val="22"/>
                  <w:highlight w:val="none"/>
                  <w:lang w:val="en-US" w:eastAsia="zh-CN"/>
                </w:rPr>
                <w:t>68</w:t>
              </w:r>
            </w:ins>
            <w:bookmarkStart w:id="234" w:name="_GoBack"/>
            <w:bookmarkEnd w:id="234"/>
          </w:p>
        </w:tc>
      </w:tr>
    </w:tbl>
    <w:p>
      <w:pPr>
        <w:rPr>
          <w:rFonts w:ascii="宋体" w:hAnsi="宋体" w:cs="宋体"/>
          <w:color w:val="auto"/>
          <w:highlight w:val="none"/>
        </w:rPr>
      </w:pPr>
    </w:p>
    <w:p>
      <w:pPr>
        <w:spacing w:before="120" w:beforeLines="50" w:after="120" w:afterLines="50"/>
        <w:jc w:val="center"/>
        <w:rPr>
          <w:rFonts w:ascii="宋体" w:hAnsi="宋体" w:cs="宋体"/>
          <w:b/>
          <w:color w:val="auto"/>
          <w:sz w:val="28"/>
          <w:szCs w:val="28"/>
          <w:highlight w:val="none"/>
        </w:rPr>
      </w:pPr>
      <w:r>
        <w:rPr>
          <w:rFonts w:hint="eastAsia" w:ascii="宋体" w:hAnsi="宋体" w:cs="宋体"/>
          <w:color w:val="auto"/>
          <w:highlight w:val="none"/>
        </w:rPr>
        <w:br w:type="page"/>
      </w:r>
      <w:r>
        <w:rPr>
          <w:rFonts w:hint="eastAsia" w:ascii="宋体" w:hAnsi="宋体" w:cs="宋体"/>
          <w:b/>
          <w:color w:val="auto"/>
          <w:sz w:val="28"/>
          <w:szCs w:val="28"/>
          <w:highlight w:val="none"/>
        </w:rPr>
        <w:t>一、 说明</w:t>
      </w:r>
      <w:bookmarkEnd w:id="25"/>
      <w:bookmarkEnd w:id="26"/>
      <w:bookmarkEnd w:id="27"/>
      <w:bookmarkEnd w:id="28"/>
      <w:bookmarkEnd w:id="29"/>
      <w:bookmarkEnd w:id="30"/>
      <w:bookmarkEnd w:id="31"/>
      <w:bookmarkEnd w:id="32"/>
      <w:bookmarkEnd w:id="33"/>
      <w:bookmarkEnd w:id="34"/>
    </w:p>
    <w:p>
      <w:pPr>
        <w:numPr>
          <w:ilvl w:val="0"/>
          <w:numId w:val="2"/>
        </w:numPr>
        <w:tabs>
          <w:tab w:val="left" w:pos="525"/>
          <w:tab w:val="left" w:pos="900"/>
        </w:tabs>
        <w:ind w:left="525" w:hanging="525"/>
        <w:rPr>
          <w:rFonts w:hint="eastAsia" w:ascii="宋体" w:hAnsi="宋体" w:cs="宋体"/>
          <w:color w:val="auto"/>
          <w:sz w:val="22"/>
          <w:szCs w:val="22"/>
          <w:highlight w:val="none"/>
        </w:rPr>
      </w:pPr>
      <w:r>
        <w:rPr>
          <w:rFonts w:hint="eastAsia" w:ascii="宋体" w:hAnsi="宋体" w:cs="宋体"/>
          <w:color w:val="auto"/>
          <w:sz w:val="22"/>
          <w:szCs w:val="22"/>
          <w:highlight w:val="none"/>
        </w:rPr>
        <w:t>本次采购工作是按照《温州市市属国有企业采购管理办法（试行）》</w:t>
      </w:r>
    </w:p>
    <w:p>
      <w:pPr>
        <w:numPr>
          <w:ilvl w:val="0"/>
          <w:numId w:val="2"/>
        </w:numPr>
        <w:tabs>
          <w:tab w:val="left" w:pos="525"/>
          <w:tab w:val="left" w:pos="900"/>
        </w:tabs>
        <w:ind w:left="525" w:hanging="525"/>
        <w:rPr>
          <w:rFonts w:ascii="宋体" w:hAnsi="宋体" w:cs="宋体"/>
          <w:color w:val="auto"/>
          <w:sz w:val="22"/>
          <w:szCs w:val="22"/>
          <w:highlight w:val="none"/>
        </w:rPr>
      </w:pPr>
      <w:r>
        <w:rPr>
          <w:rFonts w:hint="eastAsia" w:ascii="宋体" w:hAnsi="宋体" w:cs="宋体"/>
          <w:color w:val="auto"/>
          <w:sz w:val="22"/>
          <w:szCs w:val="22"/>
          <w:highlight w:val="none"/>
        </w:rPr>
        <w:t>等相关文件组织和实施的国企采购项目（非政府采购）。</w:t>
      </w:r>
    </w:p>
    <w:p>
      <w:pPr>
        <w:numPr>
          <w:ilvl w:val="0"/>
          <w:numId w:val="2"/>
        </w:numPr>
        <w:tabs>
          <w:tab w:val="left" w:pos="540"/>
          <w:tab w:val="left" w:pos="900"/>
        </w:tabs>
        <w:ind w:left="525" w:hanging="525"/>
        <w:rPr>
          <w:rFonts w:ascii="宋体" w:hAnsi="宋体" w:cs="宋体"/>
          <w:color w:val="auto"/>
          <w:sz w:val="22"/>
          <w:szCs w:val="22"/>
          <w:highlight w:val="none"/>
        </w:rPr>
      </w:pPr>
      <w:r>
        <w:rPr>
          <w:rFonts w:hint="eastAsia" w:ascii="宋体" w:hAnsi="宋体" w:cs="宋体"/>
          <w:color w:val="auto"/>
          <w:sz w:val="22"/>
          <w:szCs w:val="22"/>
          <w:highlight w:val="none"/>
        </w:rPr>
        <w:t>采购人和采购代理机构：见投标人须知前附表。</w:t>
      </w:r>
    </w:p>
    <w:p>
      <w:pPr>
        <w:numPr>
          <w:ilvl w:val="0"/>
          <w:numId w:val="2"/>
        </w:numPr>
        <w:tabs>
          <w:tab w:val="left" w:pos="525"/>
          <w:tab w:val="left" w:pos="900"/>
        </w:tabs>
        <w:ind w:left="525" w:hanging="525"/>
        <w:rPr>
          <w:rFonts w:ascii="宋体" w:hAnsi="宋体" w:cs="宋体"/>
          <w:color w:val="auto"/>
          <w:sz w:val="22"/>
          <w:szCs w:val="22"/>
          <w:highlight w:val="none"/>
        </w:rPr>
      </w:pPr>
      <w:r>
        <w:rPr>
          <w:rFonts w:hint="eastAsia" w:ascii="宋体" w:hAnsi="宋体" w:cs="宋体"/>
          <w:color w:val="auto"/>
          <w:sz w:val="22"/>
          <w:szCs w:val="22"/>
          <w:highlight w:val="none"/>
        </w:rPr>
        <w:t>投标人：是指响应采购要求且符合采购文件规定的资格条件和参加报价竞争的法人、其他组织或者自然人。</w:t>
      </w:r>
    </w:p>
    <w:p>
      <w:pPr>
        <w:numPr>
          <w:ilvl w:val="0"/>
          <w:numId w:val="2"/>
        </w:numPr>
        <w:tabs>
          <w:tab w:val="left" w:pos="525"/>
          <w:tab w:val="left" w:pos="900"/>
        </w:tabs>
        <w:ind w:left="525" w:leftChars="0" w:hanging="525"/>
        <w:rPr>
          <w:rFonts w:ascii="宋体" w:hAnsi="宋体" w:cs="宋体"/>
          <w:color w:val="auto"/>
          <w:sz w:val="22"/>
          <w:szCs w:val="22"/>
          <w:highlight w:val="none"/>
        </w:rPr>
      </w:pPr>
      <w:r>
        <w:rPr>
          <w:rFonts w:hint="eastAsia" w:ascii="宋体" w:hAnsi="宋体" w:cs="宋体"/>
          <w:color w:val="auto"/>
          <w:sz w:val="22"/>
          <w:szCs w:val="22"/>
          <w:highlight w:val="none"/>
        </w:rPr>
        <w:t>投标人代表：是指全权代表投标人参加投标活动并签署投标文件的人。如果投标人代表不是法定代表人，须持有《法定代表人授权书》。</w:t>
      </w:r>
    </w:p>
    <w:p>
      <w:pPr>
        <w:numPr>
          <w:ilvl w:val="0"/>
          <w:numId w:val="2"/>
        </w:numPr>
        <w:tabs>
          <w:tab w:val="left" w:pos="525"/>
          <w:tab w:val="left" w:pos="900"/>
        </w:tabs>
        <w:ind w:left="525" w:hanging="525"/>
        <w:rPr>
          <w:rFonts w:ascii="宋体" w:hAnsi="宋体" w:cs="宋体"/>
          <w:color w:val="auto"/>
          <w:sz w:val="22"/>
          <w:szCs w:val="22"/>
          <w:highlight w:val="none"/>
        </w:rPr>
      </w:pPr>
      <w:r>
        <w:rPr>
          <w:rFonts w:hint="eastAsia" w:ascii="宋体" w:hAnsi="宋体" w:cs="宋体"/>
          <w:color w:val="auto"/>
          <w:sz w:val="22"/>
          <w:szCs w:val="22"/>
          <w:highlight w:val="none"/>
        </w:rPr>
        <w:t>现场勘察及投标费用</w:t>
      </w:r>
    </w:p>
    <w:p>
      <w:pPr>
        <w:ind w:left="550" w:hanging="550" w:hangingChars="250"/>
        <w:rPr>
          <w:rFonts w:ascii="宋体" w:hAnsi="宋体" w:cs="宋体"/>
          <w:color w:val="auto"/>
          <w:sz w:val="22"/>
          <w:szCs w:val="22"/>
          <w:highlight w:val="none"/>
        </w:rPr>
      </w:pPr>
      <w:r>
        <w:rPr>
          <w:rFonts w:hint="eastAsia" w:ascii="宋体" w:hAnsi="宋体" w:cs="宋体"/>
          <w:color w:val="auto"/>
          <w:sz w:val="22"/>
          <w:szCs w:val="22"/>
          <w:highlight w:val="none"/>
        </w:rPr>
        <w:t>5.1  投标人须知前附表规定组织踏勘现场、召开标前会的，采购人按投标人须知前附表规定的时间、地点组织投标人踏勘项目现场、召开标前会。</w:t>
      </w:r>
    </w:p>
    <w:p>
      <w:pPr>
        <w:ind w:left="550" w:hanging="550" w:hangingChars="250"/>
        <w:rPr>
          <w:rFonts w:ascii="宋体" w:hAnsi="宋体" w:cs="宋体"/>
          <w:color w:val="auto"/>
          <w:sz w:val="22"/>
          <w:szCs w:val="22"/>
          <w:highlight w:val="none"/>
        </w:rPr>
      </w:pPr>
      <w:r>
        <w:rPr>
          <w:rFonts w:hint="eastAsia" w:ascii="宋体" w:hAnsi="宋体" w:cs="宋体"/>
          <w:color w:val="auto"/>
          <w:sz w:val="22"/>
          <w:szCs w:val="22"/>
          <w:highlight w:val="none"/>
        </w:rPr>
        <w:t>5.2  为了便于编制投标文件，投标人自行对现场和周围环境进行现场察勘，察勘现场的费用由投标人自行承担。</w:t>
      </w:r>
    </w:p>
    <w:p>
      <w:pPr>
        <w:ind w:left="550" w:hanging="550" w:hangingChars="250"/>
        <w:rPr>
          <w:rFonts w:ascii="宋体" w:hAnsi="宋体" w:cs="宋体"/>
          <w:color w:val="auto"/>
          <w:sz w:val="22"/>
          <w:szCs w:val="22"/>
          <w:highlight w:val="none"/>
        </w:rPr>
      </w:pPr>
      <w:r>
        <w:rPr>
          <w:rFonts w:hint="eastAsia" w:ascii="宋体" w:hAnsi="宋体" w:cs="宋体"/>
          <w:color w:val="auto"/>
          <w:sz w:val="22"/>
          <w:szCs w:val="22"/>
          <w:highlight w:val="none"/>
        </w:rPr>
        <w:t>5.3  在现场察勘中所发生的人员伤亡和财产损失应由投标人自行负责。</w:t>
      </w:r>
    </w:p>
    <w:p>
      <w:pPr>
        <w:ind w:left="550" w:hanging="550" w:hangingChars="250"/>
        <w:rPr>
          <w:rFonts w:ascii="宋体" w:hAnsi="宋体" w:cs="宋体"/>
          <w:color w:val="auto"/>
          <w:sz w:val="22"/>
          <w:szCs w:val="22"/>
          <w:highlight w:val="none"/>
        </w:rPr>
      </w:pPr>
      <w:r>
        <w:rPr>
          <w:rFonts w:hint="eastAsia" w:ascii="宋体" w:hAnsi="宋体" w:cs="宋体"/>
          <w:color w:val="auto"/>
          <w:sz w:val="22"/>
          <w:szCs w:val="22"/>
          <w:highlight w:val="none"/>
        </w:rPr>
        <w:t>5.4  投标人应承担所有与准备和参加投标有关费用，不论投标的结果如何，采购人和采购代理机构（以下统称“采购单位”）均无义务和责任承担这些费用。</w:t>
      </w:r>
    </w:p>
    <w:p>
      <w:pPr>
        <w:spacing w:before="120" w:beforeLines="50" w:after="120" w:afterLines="50"/>
        <w:jc w:val="center"/>
        <w:rPr>
          <w:rFonts w:ascii="宋体" w:hAnsi="宋体" w:cs="宋体"/>
          <w:b/>
          <w:color w:val="auto"/>
          <w:sz w:val="28"/>
          <w:szCs w:val="28"/>
          <w:highlight w:val="none"/>
        </w:rPr>
      </w:pPr>
      <w:bookmarkStart w:id="35" w:name="_Toc205877558"/>
      <w:bookmarkStart w:id="36" w:name="_Toc209332634"/>
      <w:bookmarkStart w:id="37" w:name="_Toc227056847"/>
      <w:bookmarkStart w:id="38" w:name="_Toc218041727"/>
      <w:bookmarkStart w:id="39" w:name="_Toc209261366"/>
      <w:bookmarkStart w:id="40" w:name="_Toc227057034"/>
      <w:bookmarkStart w:id="41" w:name="_Toc223717605"/>
      <w:bookmarkStart w:id="42" w:name="_Toc209261433"/>
      <w:bookmarkStart w:id="43" w:name="_Toc204578576"/>
      <w:bookmarkStart w:id="44" w:name="_Toc219538614"/>
      <w:bookmarkStart w:id="45" w:name="_Toc215415531"/>
      <w:bookmarkStart w:id="46" w:name="_Toc216667821"/>
      <w:bookmarkStart w:id="47" w:name="_Toc207609182"/>
      <w:bookmarkStart w:id="48" w:name="_Toc205004969"/>
      <w:bookmarkStart w:id="49" w:name="_Toc205877453"/>
      <w:bookmarkStart w:id="50" w:name="_Toc227489888"/>
      <w:bookmarkStart w:id="51" w:name="_Toc223933222"/>
      <w:bookmarkStart w:id="52" w:name="_Toc205005287"/>
      <w:bookmarkStart w:id="53" w:name="_Toc210879709"/>
      <w:bookmarkStart w:id="54" w:name="_Toc217460686"/>
      <w:bookmarkStart w:id="55" w:name="_Toc205703103"/>
      <w:bookmarkStart w:id="56" w:name="_Toc209250720"/>
      <w:bookmarkStart w:id="57" w:name="_Toc214365791"/>
      <w:bookmarkStart w:id="58" w:name="_Toc209251128"/>
      <w:bookmarkStart w:id="59" w:name="_Toc204491318"/>
      <w:r>
        <w:rPr>
          <w:rFonts w:hint="eastAsia" w:ascii="宋体" w:hAnsi="宋体" w:cs="宋体"/>
          <w:b/>
          <w:color w:val="auto"/>
          <w:sz w:val="28"/>
          <w:szCs w:val="28"/>
          <w:highlight w:val="none"/>
        </w:rPr>
        <w:t>二、 采购文件</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numPr>
          <w:ilvl w:val="0"/>
          <w:numId w:val="2"/>
        </w:numPr>
        <w:tabs>
          <w:tab w:val="left" w:pos="525"/>
          <w:tab w:val="left" w:pos="900"/>
        </w:tabs>
        <w:ind w:left="525" w:hanging="525"/>
        <w:rPr>
          <w:rFonts w:ascii="宋体" w:hAnsi="宋体" w:cs="宋体"/>
          <w:color w:val="auto"/>
          <w:sz w:val="22"/>
          <w:szCs w:val="22"/>
          <w:highlight w:val="none"/>
        </w:rPr>
      </w:pPr>
      <w:r>
        <w:rPr>
          <w:rFonts w:hint="eastAsia" w:ascii="宋体" w:hAnsi="宋体" w:cs="宋体"/>
          <w:color w:val="auto"/>
          <w:sz w:val="22"/>
          <w:szCs w:val="22"/>
          <w:highlight w:val="none"/>
        </w:rPr>
        <w:t>采购文件由采购文件目录所列内容及相关资料等组成。</w:t>
      </w:r>
    </w:p>
    <w:p>
      <w:pPr>
        <w:numPr>
          <w:ilvl w:val="0"/>
          <w:numId w:val="2"/>
        </w:numPr>
        <w:tabs>
          <w:tab w:val="left" w:pos="525"/>
          <w:tab w:val="left" w:pos="900"/>
        </w:tabs>
        <w:ind w:left="525" w:hanging="525"/>
        <w:rPr>
          <w:rFonts w:ascii="宋体" w:hAnsi="宋体" w:cs="宋体"/>
          <w:color w:val="auto"/>
          <w:sz w:val="22"/>
          <w:szCs w:val="22"/>
          <w:highlight w:val="none"/>
        </w:rPr>
      </w:pPr>
      <w:r>
        <w:rPr>
          <w:rFonts w:hint="eastAsia" w:ascii="宋体" w:hAnsi="宋体" w:cs="宋体"/>
          <w:color w:val="auto"/>
          <w:sz w:val="22"/>
          <w:szCs w:val="22"/>
          <w:highlight w:val="none"/>
        </w:rPr>
        <w:t>采购文件的澄清</w:t>
      </w:r>
    </w:p>
    <w:p>
      <w:pPr>
        <w:tabs>
          <w:tab w:val="left" w:pos="625"/>
          <w:tab w:val="left" w:pos="1080"/>
        </w:tabs>
        <w:ind w:left="524" w:hanging="523" w:hangingChars="238"/>
        <w:rPr>
          <w:rFonts w:ascii="宋体" w:hAnsi="宋体" w:cs="宋体"/>
          <w:color w:val="auto"/>
          <w:sz w:val="22"/>
          <w:szCs w:val="22"/>
          <w:highlight w:val="none"/>
        </w:rPr>
      </w:pPr>
      <w:r>
        <w:rPr>
          <w:rFonts w:hint="eastAsia" w:ascii="宋体" w:hAnsi="宋体" w:cs="宋体"/>
          <w:color w:val="auto"/>
          <w:sz w:val="22"/>
          <w:szCs w:val="22"/>
          <w:highlight w:val="none"/>
        </w:rPr>
        <w:t xml:space="preserve">7.1  </w:t>
      </w:r>
      <w:r>
        <w:rPr>
          <w:rFonts w:hint="eastAsia" w:ascii="宋体" w:hAnsi="宋体" w:cs="宋体"/>
          <w:color w:val="auto"/>
          <w:sz w:val="22"/>
          <w:szCs w:val="22"/>
          <w:highlight w:val="none"/>
        </w:rPr>
        <w:tab/>
      </w:r>
      <w:r>
        <w:rPr>
          <w:rFonts w:hint="eastAsia" w:ascii="宋体" w:hAnsi="宋体" w:cs="宋体"/>
          <w:color w:val="auto"/>
          <w:sz w:val="22"/>
          <w:szCs w:val="22"/>
          <w:highlight w:val="none"/>
        </w:rPr>
        <w:t>投标人对采购文件如有疑点或未尽事宜要求澄清，或认为有必要进行说明或交流，投标人可以在“投标人须知前附表”中规定的截止时间之前，以书面形式（包括信函、传真、下同）向采购人提出质疑，采购人在“投标人须知前附表”中规定的截止时间予以答复。如有必要，可将不说明问题来源的答复发给各有关投标人或召开答疑会。如果标书答疑期内未收到有关疑问，视为投标人完全同意采购文件所有条款，且对于采购文件相关表述以及未尽事宜如有争议，以采购人解释为准。</w:t>
      </w:r>
    </w:p>
    <w:p>
      <w:pPr>
        <w:numPr>
          <w:ilvl w:val="0"/>
          <w:numId w:val="2"/>
        </w:numPr>
        <w:tabs>
          <w:tab w:val="left" w:pos="525"/>
          <w:tab w:val="left" w:pos="900"/>
        </w:tabs>
        <w:ind w:left="525" w:hanging="525"/>
        <w:rPr>
          <w:rFonts w:ascii="宋体" w:hAnsi="宋体" w:cs="宋体"/>
          <w:color w:val="auto"/>
          <w:sz w:val="22"/>
          <w:szCs w:val="22"/>
          <w:highlight w:val="none"/>
        </w:rPr>
      </w:pPr>
      <w:r>
        <w:rPr>
          <w:rFonts w:hint="eastAsia" w:ascii="宋体" w:hAnsi="宋体" w:cs="宋体"/>
          <w:color w:val="auto"/>
          <w:sz w:val="22"/>
          <w:szCs w:val="22"/>
          <w:highlight w:val="none"/>
        </w:rPr>
        <w:t>采购文件的修改</w:t>
      </w:r>
    </w:p>
    <w:p>
      <w:pPr>
        <w:tabs>
          <w:tab w:val="left" w:pos="1080"/>
        </w:tabs>
        <w:ind w:left="524" w:hanging="523" w:hangingChars="238"/>
        <w:rPr>
          <w:rFonts w:ascii="宋体" w:hAnsi="宋体" w:cs="宋体"/>
          <w:color w:val="auto"/>
          <w:sz w:val="22"/>
          <w:szCs w:val="22"/>
          <w:highlight w:val="none"/>
        </w:rPr>
      </w:pPr>
      <w:r>
        <w:rPr>
          <w:rFonts w:hint="eastAsia" w:ascii="宋体" w:hAnsi="宋体" w:cs="宋体"/>
          <w:color w:val="auto"/>
          <w:sz w:val="22"/>
          <w:szCs w:val="22"/>
          <w:highlight w:val="none"/>
        </w:rPr>
        <w:t>8.1  采购单位如需对已发出的采购文件进行必要的澄清或者修改，如澄清或者修改的内容可能影响投标文件编制的，将在投标截止时间至少15日前，对采购文件以补充文件的方式进行修改，并在浙江政府采购网、温州国企采购平台等发布公告的网站上发布更正公告，通知所有获取采购文件的潜在投标人。该澄清和修改的内容为采购文件的组成部分。采购人可以视采购具体情况在采购文件要求提交截止时间前，作出延长投标文件递交截止时间和开标时间的决定，并在浙江省政府采购网、温州国企采购平台等发布公告的网站上发布变更公告，以通知所有获取采购文件的潜在投标人。</w:t>
      </w:r>
    </w:p>
    <w:p>
      <w:pPr>
        <w:tabs>
          <w:tab w:val="left" w:pos="1080"/>
        </w:tabs>
        <w:ind w:left="524" w:hanging="523" w:hangingChars="238"/>
        <w:rPr>
          <w:rFonts w:ascii="宋体" w:hAnsi="宋体" w:cs="宋体"/>
          <w:color w:val="auto"/>
          <w:sz w:val="22"/>
          <w:szCs w:val="22"/>
          <w:highlight w:val="none"/>
        </w:rPr>
      </w:pPr>
      <w:r>
        <w:rPr>
          <w:rFonts w:hint="eastAsia" w:ascii="宋体" w:hAnsi="宋体" w:cs="宋体"/>
          <w:color w:val="auto"/>
          <w:sz w:val="22"/>
          <w:szCs w:val="22"/>
          <w:highlight w:val="none"/>
        </w:rPr>
        <w:t>8.2  投标人收到澄清和修改的补充文件，应立即以书面形式回复确认已收到补充文件。当采购文件、采购文件的澄清、修改、补充等在同一内容的表述上不一致时，以最后发出的书面文件为准。</w:t>
      </w:r>
    </w:p>
    <w:p>
      <w:pPr>
        <w:tabs>
          <w:tab w:val="left" w:pos="1080"/>
        </w:tabs>
        <w:ind w:left="524" w:hanging="523" w:hangingChars="238"/>
        <w:rPr>
          <w:rFonts w:ascii="宋体" w:hAnsi="宋体" w:cs="宋体"/>
          <w:color w:val="auto"/>
          <w:sz w:val="22"/>
          <w:szCs w:val="22"/>
          <w:highlight w:val="none"/>
        </w:rPr>
      </w:pPr>
      <w:r>
        <w:rPr>
          <w:rFonts w:hint="eastAsia" w:ascii="宋体" w:hAnsi="宋体" w:cs="宋体"/>
          <w:color w:val="auto"/>
          <w:sz w:val="22"/>
          <w:szCs w:val="22"/>
          <w:highlight w:val="none"/>
        </w:rPr>
        <w:t>8.3</w:t>
      </w:r>
      <w:r>
        <w:rPr>
          <w:rFonts w:hint="eastAsia" w:ascii="宋体" w:hAnsi="宋体" w:cs="宋体"/>
          <w:color w:val="auto"/>
          <w:sz w:val="22"/>
          <w:szCs w:val="22"/>
          <w:highlight w:val="none"/>
        </w:rPr>
        <w:tab/>
      </w:r>
      <w:r>
        <w:rPr>
          <w:rFonts w:hint="eastAsia" w:ascii="宋体" w:hAnsi="宋体" w:cs="宋体"/>
          <w:color w:val="auto"/>
          <w:sz w:val="22"/>
          <w:szCs w:val="22"/>
          <w:highlight w:val="none"/>
        </w:rPr>
        <w:t>本项目投标人均可在本项目采购公告附件下载采购文件，并按采购文件规定的时间、地点递交投标文件。投标人须在开标前自行查看是否有补充更正文件，并按补充更正文件要求投标，否则责任自负。</w:t>
      </w:r>
    </w:p>
    <w:p>
      <w:pPr>
        <w:spacing w:before="120" w:beforeLines="50" w:after="120" w:afterLines="50"/>
        <w:jc w:val="center"/>
        <w:rPr>
          <w:rFonts w:ascii="宋体" w:hAnsi="宋体" w:cs="宋体"/>
          <w:b/>
          <w:color w:val="auto"/>
          <w:sz w:val="28"/>
          <w:szCs w:val="28"/>
          <w:highlight w:val="none"/>
        </w:rPr>
      </w:pPr>
      <w:bookmarkStart w:id="60" w:name="_Toc209250721"/>
      <w:bookmarkStart w:id="61" w:name="_Toc214365792"/>
      <w:bookmarkStart w:id="62" w:name="_Toc205877454"/>
      <w:bookmarkStart w:id="63" w:name="_Toc227489889"/>
      <w:bookmarkStart w:id="64" w:name="_Toc223717606"/>
      <w:bookmarkStart w:id="65" w:name="_Toc210879710"/>
      <w:bookmarkStart w:id="66" w:name="_Toc207609183"/>
      <w:bookmarkStart w:id="67" w:name="_Toc204578577"/>
      <w:bookmarkStart w:id="68" w:name="_Toc219538615"/>
      <w:bookmarkStart w:id="69" w:name="_Toc205004970"/>
      <w:bookmarkStart w:id="70" w:name="_Toc205703104"/>
      <w:bookmarkStart w:id="71" w:name="_Toc218041728"/>
      <w:bookmarkStart w:id="72" w:name="_Toc209332635"/>
      <w:bookmarkStart w:id="73" w:name="_Toc204491319"/>
      <w:bookmarkStart w:id="74" w:name="_Toc205877559"/>
      <w:bookmarkStart w:id="75" w:name="_Toc209261367"/>
      <w:bookmarkStart w:id="76" w:name="_Toc209251129"/>
      <w:bookmarkStart w:id="77" w:name="_Toc217460687"/>
      <w:bookmarkStart w:id="78" w:name="_Toc205005288"/>
      <w:bookmarkStart w:id="79" w:name="_Toc227057035"/>
      <w:bookmarkStart w:id="80" w:name="_Toc216667822"/>
      <w:bookmarkStart w:id="81" w:name="_Toc215415532"/>
      <w:bookmarkStart w:id="82" w:name="_Toc223933223"/>
      <w:bookmarkStart w:id="83" w:name="_Toc227056848"/>
      <w:bookmarkStart w:id="84" w:name="_Toc209261434"/>
      <w:r>
        <w:rPr>
          <w:rFonts w:hint="eastAsia" w:ascii="宋体" w:hAnsi="宋体" w:cs="宋体"/>
          <w:b/>
          <w:color w:val="auto"/>
          <w:sz w:val="28"/>
          <w:szCs w:val="28"/>
          <w:highlight w:val="none"/>
        </w:rPr>
        <w:t>三、 投标文件的编制</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numPr>
          <w:ilvl w:val="0"/>
          <w:numId w:val="2"/>
        </w:numPr>
        <w:tabs>
          <w:tab w:val="left" w:pos="525"/>
          <w:tab w:val="left" w:pos="900"/>
        </w:tabs>
        <w:ind w:left="525" w:hanging="525"/>
        <w:rPr>
          <w:rFonts w:ascii="宋体" w:hAnsi="宋体" w:cs="宋体"/>
          <w:color w:val="auto"/>
          <w:sz w:val="22"/>
          <w:szCs w:val="22"/>
          <w:highlight w:val="none"/>
        </w:rPr>
      </w:pPr>
      <w:r>
        <w:rPr>
          <w:rFonts w:hint="eastAsia" w:ascii="宋体" w:hAnsi="宋体" w:cs="宋体"/>
          <w:color w:val="auto"/>
          <w:sz w:val="22"/>
          <w:szCs w:val="22"/>
          <w:highlight w:val="none"/>
        </w:rPr>
        <w:t>投标人应认真阅读采购文件中所有事项格式、条款和技术规范等。投标人没有按照采购文件要求提交全部资料，或者没有对采购文件各个方面做出实质性响应，导致投标被拒绝的风险由投标人自行承担。</w:t>
      </w:r>
    </w:p>
    <w:p>
      <w:pPr>
        <w:numPr>
          <w:ilvl w:val="0"/>
          <w:numId w:val="2"/>
        </w:numPr>
        <w:tabs>
          <w:tab w:val="left" w:pos="525"/>
          <w:tab w:val="left" w:pos="900"/>
        </w:tabs>
        <w:ind w:left="525" w:hanging="525"/>
        <w:rPr>
          <w:rFonts w:ascii="宋体" w:hAnsi="宋体" w:cs="宋体"/>
          <w:color w:val="auto"/>
          <w:sz w:val="22"/>
          <w:szCs w:val="22"/>
          <w:highlight w:val="none"/>
        </w:rPr>
      </w:pPr>
      <w:r>
        <w:rPr>
          <w:rFonts w:hint="eastAsia" w:ascii="宋体" w:hAnsi="宋体" w:cs="宋体"/>
          <w:color w:val="auto"/>
          <w:sz w:val="22"/>
          <w:szCs w:val="22"/>
          <w:highlight w:val="none"/>
        </w:rPr>
        <w:t>投标人应保证所提供文件资料的真实性，所有文件资料必须是针对本次采购的。如发现投标人提供了虚假文件资料，其投标将被拒绝，并自行承担相应的法律责任。</w:t>
      </w:r>
    </w:p>
    <w:p>
      <w:pPr>
        <w:numPr>
          <w:ilvl w:val="0"/>
          <w:numId w:val="2"/>
        </w:numPr>
        <w:tabs>
          <w:tab w:val="left" w:pos="525"/>
          <w:tab w:val="left" w:pos="900"/>
        </w:tabs>
        <w:ind w:left="525" w:hanging="525"/>
        <w:rPr>
          <w:rFonts w:ascii="宋体" w:hAnsi="宋体" w:cs="宋体"/>
          <w:color w:val="auto"/>
          <w:sz w:val="22"/>
          <w:szCs w:val="22"/>
          <w:highlight w:val="none"/>
        </w:rPr>
      </w:pPr>
      <w:r>
        <w:rPr>
          <w:rFonts w:hint="eastAsia" w:ascii="宋体" w:hAnsi="宋体" w:cs="宋体"/>
          <w:color w:val="auto"/>
          <w:sz w:val="22"/>
          <w:szCs w:val="22"/>
          <w:highlight w:val="none"/>
        </w:rPr>
        <w:t>投标文件的构成：</w:t>
      </w:r>
    </w:p>
    <w:p>
      <w:pPr>
        <w:rPr>
          <w:rFonts w:ascii="宋体" w:hAnsi="宋体" w:cs="宋体"/>
          <w:color w:val="auto"/>
          <w:sz w:val="22"/>
          <w:szCs w:val="22"/>
          <w:highlight w:val="none"/>
        </w:rPr>
      </w:pPr>
      <w:r>
        <w:rPr>
          <w:rFonts w:hint="eastAsia" w:ascii="宋体" w:hAnsi="宋体" w:cs="宋体"/>
          <w:color w:val="auto"/>
          <w:sz w:val="22"/>
          <w:szCs w:val="22"/>
          <w:highlight w:val="none"/>
        </w:rPr>
        <w:t>11.1 投标文件由技术资信标和商务（报价）标二部分构成：</w:t>
      </w:r>
    </w:p>
    <w:p>
      <w:pPr>
        <w:ind w:left="187" w:leftChars="85" w:hanging="9" w:hangingChars="4"/>
        <w:rPr>
          <w:rFonts w:ascii="宋体" w:hAnsi="宋体" w:cs="宋体"/>
          <w:b/>
          <w:color w:val="auto"/>
          <w:sz w:val="22"/>
          <w:szCs w:val="22"/>
          <w:highlight w:val="none"/>
        </w:rPr>
      </w:pPr>
      <w:r>
        <w:rPr>
          <w:rFonts w:hint="eastAsia" w:ascii="宋体" w:hAnsi="宋体" w:cs="宋体"/>
          <w:b/>
          <w:color w:val="auto"/>
          <w:sz w:val="22"/>
          <w:szCs w:val="22"/>
          <w:highlight w:val="none"/>
        </w:rPr>
        <w:t>（1）技术资信标</w:t>
      </w:r>
    </w:p>
    <w:tbl>
      <w:tblPr>
        <w:tblStyle w:val="27"/>
        <w:tblW w:w="92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7057"/>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序号</w:t>
            </w:r>
          </w:p>
        </w:tc>
        <w:tc>
          <w:tcPr>
            <w:tcW w:w="7057" w:type="dxa"/>
            <w:vAlign w:val="center"/>
          </w:tcPr>
          <w:p>
            <w:pPr>
              <w:spacing w:line="24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内容</w:t>
            </w:r>
          </w:p>
        </w:tc>
        <w:tc>
          <w:tcPr>
            <w:tcW w:w="1324" w:type="dxa"/>
            <w:vAlign w:val="center"/>
          </w:tcPr>
          <w:p>
            <w:pPr>
              <w:spacing w:line="24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7057" w:type="dxa"/>
            <w:vAlign w:val="center"/>
          </w:tcPr>
          <w:p>
            <w:pPr>
              <w:spacing w:line="240" w:lineRule="exact"/>
              <w:rPr>
                <w:rFonts w:ascii="宋体" w:hAnsi="宋体" w:cs="宋体"/>
                <w:b/>
                <w:color w:val="auto"/>
                <w:sz w:val="22"/>
                <w:szCs w:val="22"/>
                <w:highlight w:val="none"/>
              </w:rPr>
            </w:pPr>
            <w:r>
              <w:rPr>
                <w:rFonts w:hint="eastAsia" w:ascii="宋体" w:hAnsi="宋体" w:cs="宋体"/>
                <w:color w:val="auto"/>
                <w:sz w:val="22"/>
                <w:szCs w:val="22"/>
                <w:highlight w:val="none"/>
              </w:rPr>
              <w:t>投标函</w:t>
            </w:r>
          </w:p>
        </w:tc>
        <w:tc>
          <w:tcPr>
            <w:tcW w:w="1324" w:type="dxa"/>
            <w:vAlign w:val="center"/>
          </w:tcPr>
          <w:p>
            <w:pPr>
              <w:spacing w:line="240" w:lineRule="exact"/>
              <w:jc w:val="center"/>
              <w:rPr>
                <w:rFonts w:ascii="宋体" w:hAnsi="宋体" w:cs="宋体"/>
                <w:b/>
                <w:color w:val="auto"/>
                <w:sz w:val="22"/>
                <w:szCs w:val="22"/>
                <w:highlight w:val="none"/>
              </w:rPr>
            </w:pPr>
            <w:r>
              <w:rPr>
                <w:rFonts w:hint="eastAsia" w:ascii="宋体" w:hAnsi="宋体" w:cs="宋体"/>
                <w:color w:val="auto"/>
                <w:sz w:val="22"/>
                <w:szCs w:val="22"/>
                <w:highlight w:val="none"/>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（2）</w:t>
            </w:r>
          </w:p>
        </w:tc>
        <w:tc>
          <w:tcPr>
            <w:tcW w:w="7057" w:type="dxa"/>
            <w:vAlign w:val="center"/>
          </w:tcPr>
          <w:p>
            <w:pPr>
              <w:spacing w:line="240" w:lineRule="exact"/>
              <w:rPr>
                <w:rFonts w:ascii="宋体" w:hAnsi="宋体" w:cs="宋体"/>
                <w:bCs/>
                <w:color w:val="auto"/>
                <w:sz w:val="22"/>
                <w:szCs w:val="22"/>
                <w:highlight w:val="none"/>
              </w:rPr>
            </w:pPr>
            <w:r>
              <w:rPr>
                <w:rFonts w:hint="eastAsia" w:ascii="宋体" w:hAnsi="宋体" w:cs="宋体"/>
                <w:bCs/>
                <w:color w:val="auto"/>
                <w:sz w:val="22"/>
                <w:szCs w:val="22"/>
                <w:highlight w:val="none"/>
              </w:rPr>
              <w:t>技术规格、商务条款偏离表</w:t>
            </w:r>
          </w:p>
        </w:tc>
        <w:tc>
          <w:tcPr>
            <w:tcW w:w="1324" w:type="dxa"/>
            <w:vAlign w:val="center"/>
          </w:tcPr>
          <w:p>
            <w:pPr>
              <w:spacing w:line="240" w:lineRule="exact"/>
              <w:jc w:val="center"/>
              <w:rPr>
                <w:rFonts w:ascii="宋体" w:hAnsi="宋体" w:cs="宋体"/>
                <w:b/>
                <w:color w:val="auto"/>
                <w:sz w:val="22"/>
                <w:szCs w:val="22"/>
                <w:highlight w:val="none"/>
              </w:rPr>
            </w:pPr>
            <w:r>
              <w:rPr>
                <w:rFonts w:hint="eastAsia" w:ascii="宋体" w:hAnsi="宋体" w:cs="宋体"/>
                <w:color w:val="auto"/>
                <w:sz w:val="22"/>
                <w:szCs w:val="22"/>
                <w:highlight w:val="none"/>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（3）</w:t>
            </w:r>
          </w:p>
        </w:tc>
        <w:tc>
          <w:tcPr>
            <w:tcW w:w="7057" w:type="dxa"/>
            <w:vAlign w:val="center"/>
          </w:tcPr>
          <w:p>
            <w:pPr>
              <w:spacing w:line="240" w:lineRule="exact"/>
              <w:rPr>
                <w:rFonts w:ascii="宋体" w:hAnsi="宋体" w:cs="宋体"/>
                <w:color w:val="auto"/>
                <w:sz w:val="22"/>
                <w:szCs w:val="22"/>
                <w:highlight w:val="none"/>
                <w:u w:val="single"/>
              </w:rPr>
            </w:pPr>
            <w:r>
              <w:rPr>
                <w:rFonts w:hint="eastAsia" w:ascii="宋体" w:hAnsi="宋体" w:cs="宋体"/>
                <w:b/>
                <w:bCs/>
                <w:color w:val="auto"/>
                <w:sz w:val="22"/>
                <w:szCs w:val="22"/>
                <w:highlight w:val="none"/>
                <w:u w:val="single"/>
              </w:rPr>
              <w:t>▲</w:t>
            </w:r>
            <w:r>
              <w:rPr>
                <w:rFonts w:hint="eastAsia" w:ascii="宋体" w:hAnsi="宋体" w:cs="宋体"/>
                <w:b/>
                <w:color w:val="auto"/>
                <w:sz w:val="22"/>
                <w:szCs w:val="22"/>
                <w:highlight w:val="none"/>
                <w:u w:val="single"/>
              </w:rPr>
              <w:t>资格证明文件（本部分为投标人资格审查内容，为实质性要求）：</w:t>
            </w:r>
          </w:p>
        </w:tc>
        <w:tc>
          <w:tcPr>
            <w:tcW w:w="1324"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7057" w:type="dxa"/>
            <w:vAlign w:val="center"/>
          </w:tcPr>
          <w:p>
            <w:pPr>
              <w:tabs>
                <w:tab w:val="left" w:pos="5355"/>
              </w:tabs>
              <w:spacing w:line="240" w:lineRule="exact"/>
              <w:rPr>
                <w:rFonts w:ascii="宋体" w:hAnsi="宋体" w:cs="宋体"/>
                <w:b/>
                <w:color w:val="auto"/>
                <w:sz w:val="22"/>
                <w:szCs w:val="22"/>
                <w:highlight w:val="none"/>
              </w:rPr>
            </w:pPr>
            <w:r>
              <w:rPr>
                <w:rFonts w:hint="eastAsia" w:ascii="宋体" w:hAnsi="宋体" w:cs="宋体"/>
                <w:color w:val="auto"/>
                <w:sz w:val="22"/>
                <w:szCs w:val="22"/>
                <w:highlight w:val="none"/>
              </w:rPr>
              <w:t>法定代表人授权书</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2)</w:t>
            </w:r>
          </w:p>
        </w:tc>
        <w:tc>
          <w:tcPr>
            <w:tcW w:w="7057" w:type="dxa"/>
            <w:vAlign w:val="center"/>
          </w:tcPr>
          <w:p>
            <w:pPr>
              <w:tabs>
                <w:tab w:val="left" w:pos="5355"/>
              </w:tabs>
              <w:spacing w:line="240" w:lineRule="exact"/>
              <w:rPr>
                <w:rFonts w:ascii="宋体" w:hAnsi="宋体" w:cs="宋体"/>
                <w:color w:val="auto"/>
                <w:sz w:val="22"/>
                <w:szCs w:val="22"/>
                <w:highlight w:val="none"/>
              </w:rPr>
            </w:pPr>
            <w:r>
              <w:rPr>
                <w:rFonts w:hint="eastAsia" w:ascii="宋体" w:hAnsi="宋体" w:cs="宋体"/>
                <w:color w:val="auto"/>
                <w:sz w:val="22"/>
                <w:szCs w:val="22"/>
                <w:highlight w:val="none"/>
              </w:rPr>
              <w:t>企业法人有效营业执照</w:t>
            </w:r>
            <w:r>
              <w:rPr>
                <w:rFonts w:hint="eastAsia" w:ascii="宋体" w:hAnsi="宋体" w:cs="宋体"/>
                <w:snapToGrid w:val="0"/>
                <w:color w:val="auto"/>
                <w:kern w:val="0"/>
                <w:sz w:val="22"/>
                <w:szCs w:val="22"/>
                <w:highlight w:val="none"/>
              </w:rPr>
              <w:t>（复印件加盖单位公章）</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tabs>
                <w:tab w:val="left" w:pos="5355"/>
              </w:tabs>
              <w:spacing w:line="24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  3）</w:t>
            </w:r>
          </w:p>
        </w:tc>
        <w:tc>
          <w:tcPr>
            <w:tcW w:w="7057" w:type="dxa"/>
            <w:vAlign w:val="center"/>
          </w:tcPr>
          <w:p>
            <w:pPr>
              <w:tabs>
                <w:tab w:val="left" w:pos="5355"/>
              </w:tabs>
              <w:spacing w:line="240" w:lineRule="exact"/>
              <w:rPr>
                <w:rFonts w:ascii="宋体" w:hAnsi="宋体" w:cs="宋体"/>
                <w:color w:val="auto"/>
                <w:sz w:val="22"/>
                <w:szCs w:val="22"/>
                <w:highlight w:val="none"/>
              </w:rPr>
            </w:pPr>
            <w:r>
              <w:rPr>
                <w:rFonts w:hint="eastAsia" w:ascii="宋体" w:hAnsi="宋体" w:cs="宋体"/>
                <w:color w:val="auto"/>
                <w:sz w:val="22"/>
                <w:szCs w:val="22"/>
                <w:highlight w:val="none"/>
              </w:rPr>
              <w:t>公安部门颁发的有效的《保安服务许可证》（复印件加盖单位公章）</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4)</w:t>
            </w:r>
          </w:p>
        </w:tc>
        <w:tc>
          <w:tcPr>
            <w:tcW w:w="7057" w:type="dxa"/>
            <w:vAlign w:val="center"/>
          </w:tcPr>
          <w:p>
            <w:pPr>
              <w:tabs>
                <w:tab w:val="left" w:pos="5355"/>
              </w:tabs>
              <w:spacing w:line="240" w:lineRule="exact"/>
              <w:rPr>
                <w:rFonts w:ascii="宋体" w:hAnsi="宋体" w:cs="宋体"/>
                <w:color w:val="auto"/>
                <w:sz w:val="22"/>
                <w:szCs w:val="22"/>
                <w:highlight w:val="none"/>
              </w:rPr>
            </w:pPr>
            <w:r>
              <w:rPr>
                <w:rFonts w:hint="eastAsia" w:ascii="新宋体" w:hAnsi="新宋体" w:eastAsia="新宋体" w:cs="新宋体"/>
                <w:bCs/>
                <w:color w:val="auto"/>
                <w:sz w:val="22"/>
                <w:szCs w:val="22"/>
                <w:highlight w:val="none"/>
              </w:rPr>
              <w:t>投标人“信用中国”(www.creditchina.gov.cn)；“中国政府采购网”（http://www.ccgp.gov.cn/）信用记录网页截图（查询时间：采购公告发布之日至投标截止时间前均可）（具体以开标当日采购人或采购代理机构网页查询结果为准）</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5)</w:t>
            </w:r>
          </w:p>
        </w:tc>
        <w:tc>
          <w:tcPr>
            <w:tcW w:w="7057" w:type="dxa"/>
            <w:vAlign w:val="center"/>
          </w:tcPr>
          <w:p>
            <w:pPr>
              <w:tabs>
                <w:tab w:val="left" w:pos="5355"/>
              </w:tabs>
              <w:spacing w:line="240" w:lineRule="exact"/>
              <w:rPr>
                <w:rFonts w:ascii="宋体" w:hAnsi="宋体" w:cs="宋体"/>
                <w:color w:val="auto"/>
                <w:sz w:val="22"/>
                <w:szCs w:val="22"/>
                <w:highlight w:val="none"/>
              </w:rPr>
            </w:pPr>
            <w:r>
              <w:rPr>
                <w:rFonts w:hint="eastAsia" w:ascii="宋体" w:hAnsi="宋体" w:cs="宋体"/>
                <w:color w:val="auto"/>
                <w:sz w:val="22"/>
                <w:szCs w:val="22"/>
                <w:highlight w:val="none"/>
              </w:rPr>
              <w:t>无重大违法记录声明书</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（4）</w:t>
            </w:r>
          </w:p>
        </w:tc>
        <w:tc>
          <w:tcPr>
            <w:tcW w:w="7057" w:type="dxa"/>
            <w:vAlign w:val="center"/>
          </w:tcPr>
          <w:p>
            <w:pPr>
              <w:spacing w:line="240" w:lineRule="exact"/>
              <w:rPr>
                <w:rFonts w:ascii="宋体" w:hAnsi="宋体" w:cs="宋体"/>
                <w:color w:val="auto"/>
                <w:sz w:val="22"/>
                <w:szCs w:val="22"/>
                <w:highlight w:val="none"/>
              </w:rPr>
            </w:pPr>
            <w:r>
              <w:rPr>
                <w:rFonts w:hint="eastAsia" w:ascii="宋体" w:hAnsi="宋体" w:cs="宋体"/>
                <w:color w:val="auto"/>
                <w:sz w:val="22"/>
                <w:szCs w:val="22"/>
                <w:highlight w:val="none"/>
              </w:rPr>
              <w:t>投标人综合实力（根据评分内容提供相关材料）</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（5）</w:t>
            </w:r>
          </w:p>
        </w:tc>
        <w:tc>
          <w:tcPr>
            <w:tcW w:w="7057" w:type="dxa"/>
            <w:vAlign w:val="center"/>
          </w:tcPr>
          <w:p>
            <w:pPr>
              <w:tabs>
                <w:tab w:val="left" w:pos="5355"/>
              </w:tabs>
              <w:spacing w:line="240" w:lineRule="exact"/>
              <w:rPr>
                <w:rFonts w:ascii="宋体" w:hAnsi="宋体" w:cs="宋体"/>
                <w:color w:val="auto"/>
                <w:sz w:val="22"/>
                <w:szCs w:val="22"/>
                <w:highlight w:val="none"/>
              </w:rPr>
            </w:pPr>
            <w:r>
              <w:rPr>
                <w:rFonts w:hint="eastAsia" w:ascii="宋体" w:hAnsi="宋体" w:cs="宋体"/>
                <w:color w:val="auto"/>
                <w:sz w:val="22"/>
                <w:szCs w:val="22"/>
                <w:highlight w:val="none"/>
              </w:rPr>
              <w:t>类似项目业绩</w:t>
            </w:r>
          </w:p>
        </w:tc>
        <w:tc>
          <w:tcPr>
            <w:tcW w:w="1324"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（6）</w:t>
            </w:r>
          </w:p>
        </w:tc>
        <w:tc>
          <w:tcPr>
            <w:tcW w:w="7057" w:type="dxa"/>
            <w:vAlign w:val="center"/>
          </w:tcPr>
          <w:p>
            <w:pPr>
              <w:tabs>
                <w:tab w:val="left" w:pos="5355"/>
              </w:tabs>
              <w:spacing w:line="240" w:lineRule="exact"/>
              <w:rPr>
                <w:rFonts w:ascii="宋体" w:hAnsi="宋体" w:cs="宋体"/>
                <w:color w:val="auto"/>
                <w:sz w:val="22"/>
                <w:szCs w:val="22"/>
                <w:highlight w:val="none"/>
              </w:rPr>
            </w:pPr>
            <w:r>
              <w:rPr>
                <w:rFonts w:ascii="宋体" w:hAnsi="宋体" w:cs="Arial"/>
                <w:color w:val="auto"/>
                <w:sz w:val="22"/>
                <w:szCs w:val="22"/>
                <w:highlight w:val="none"/>
              </w:rPr>
              <w:t>项目服务人员一览表</w:t>
            </w:r>
          </w:p>
        </w:tc>
        <w:tc>
          <w:tcPr>
            <w:tcW w:w="1324"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7057" w:type="dxa"/>
            <w:vAlign w:val="center"/>
          </w:tcPr>
          <w:p>
            <w:pPr>
              <w:autoSpaceDE w:val="0"/>
              <w:autoSpaceDN w:val="0"/>
              <w:snapToGrid w:val="0"/>
              <w:ind w:hanging="10"/>
              <w:jc w:val="left"/>
              <w:rPr>
                <w:rFonts w:ascii="宋体" w:hAnsi="宋体" w:cs="宋体"/>
                <w:color w:val="auto"/>
                <w:sz w:val="22"/>
                <w:szCs w:val="22"/>
                <w:highlight w:val="none"/>
              </w:rPr>
            </w:pPr>
            <w:r>
              <w:rPr>
                <w:rFonts w:hint="eastAsia" w:ascii="宋体" w:hAnsi="宋体" w:cs="宋体"/>
                <w:color w:val="auto"/>
                <w:sz w:val="22"/>
                <w:szCs w:val="22"/>
                <w:highlight w:val="none"/>
              </w:rPr>
              <w:t>项目负责人资格情况表</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2)</w:t>
            </w:r>
          </w:p>
        </w:tc>
        <w:tc>
          <w:tcPr>
            <w:tcW w:w="7057" w:type="dxa"/>
            <w:vAlign w:val="center"/>
          </w:tcPr>
          <w:p>
            <w:pPr>
              <w:autoSpaceDE w:val="0"/>
              <w:autoSpaceDN w:val="0"/>
              <w:snapToGrid w:val="0"/>
              <w:ind w:hanging="10"/>
              <w:jc w:val="left"/>
              <w:rPr>
                <w:rFonts w:ascii="宋体" w:hAnsi="宋体" w:cs="宋体"/>
                <w:color w:val="auto"/>
                <w:sz w:val="22"/>
                <w:szCs w:val="22"/>
                <w:highlight w:val="none"/>
              </w:rPr>
            </w:pPr>
            <w:r>
              <w:rPr>
                <w:rFonts w:hint="eastAsia" w:ascii="宋体" w:hAnsi="宋体" w:cs="宋体"/>
                <w:color w:val="auto"/>
                <w:sz w:val="22"/>
                <w:szCs w:val="22"/>
                <w:highlight w:val="none"/>
              </w:rPr>
              <w:t>项目服务人员名单</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（7）</w:t>
            </w:r>
          </w:p>
        </w:tc>
        <w:tc>
          <w:tcPr>
            <w:tcW w:w="7057" w:type="dxa"/>
            <w:vAlign w:val="center"/>
          </w:tcPr>
          <w:p>
            <w:pPr>
              <w:autoSpaceDE w:val="0"/>
              <w:autoSpaceDN w:val="0"/>
              <w:snapToGrid w:val="0"/>
              <w:ind w:hanging="10"/>
              <w:jc w:val="left"/>
              <w:rPr>
                <w:rFonts w:ascii="宋体" w:hAnsi="宋体" w:cs="宋体"/>
                <w:color w:val="auto"/>
                <w:sz w:val="22"/>
                <w:szCs w:val="22"/>
                <w:highlight w:val="none"/>
              </w:rPr>
            </w:pPr>
            <w:r>
              <w:rPr>
                <w:rFonts w:hint="eastAsia" w:ascii="宋体" w:hAnsi="宋体" w:cs="宋体"/>
                <w:color w:val="auto"/>
                <w:sz w:val="22"/>
                <w:szCs w:val="22"/>
                <w:highlight w:val="none"/>
              </w:rPr>
              <w:t>服务实施方案</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7057" w:type="dxa"/>
            <w:vAlign w:val="center"/>
          </w:tcPr>
          <w:p>
            <w:pPr>
              <w:autoSpaceDE w:val="0"/>
              <w:autoSpaceDN w:val="0"/>
              <w:snapToGrid w:val="0"/>
              <w:ind w:hanging="10"/>
              <w:jc w:val="left"/>
              <w:rPr>
                <w:rFonts w:ascii="宋体" w:hAnsi="宋体" w:cs="宋体"/>
                <w:color w:val="auto"/>
                <w:sz w:val="22"/>
                <w:szCs w:val="22"/>
                <w:highlight w:val="none"/>
              </w:rPr>
            </w:pPr>
            <w:r>
              <w:rPr>
                <w:rFonts w:hint="eastAsia" w:ascii="宋体" w:hAnsi="宋体" w:cs="宋体"/>
                <w:color w:val="auto"/>
                <w:sz w:val="22"/>
                <w:szCs w:val="22"/>
                <w:highlight w:val="none"/>
              </w:rPr>
              <w:t>项目具体实施方案</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2)</w:t>
            </w:r>
          </w:p>
        </w:tc>
        <w:tc>
          <w:tcPr>
            <w:tcW w:w="7057" w:type="dxa"/>
            <w:vAlign w:val="center"/>
          </w:tcPr>
          <w:p>
            <w:pPr>
              <w:autoSpaceDE w:val="0"/>
              <w:autoSpaceDN w:val="0"/>
              <w:snapToGrid w:val="0"/>
              <w:ind w:hanging="10"/>
              <w:jc w:val="left"/>
              <w:rPr>
                <w:rFonts w:ascii="宋体" w:hAnsi="宋体" w:cs="宋体"/>
                <w:color w:val="auto"/>
                <w:sz w:val="22"/>
                <w:szCs w:val="22"/>
                <w:highlight w:val="none"/>
              </w:rPr>
            </w:pPr>
            <w:r>
              <w:rPr>
                <w:rFonts w:hint="eastAsia" w:ascii="宋体" w:hAnsi="宋体" w:cs="Arial"/>
                <w:color w:val="auto"/>
                <w:sz w:val="22"/>
                <w:szCs w:val="22"/>
                <w:highlight w:val="none"/>
              </w:rPr>
              <w:t>各项管理规章制度及考核方法</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3)</w:t>
            </w:r>
          </w:p>
        </w:tc>
        <w:tc>
          <w:tcPr>
            <w:tcW w:w="7057" w:type="dxa"/>
            <w:vAlign w:val="center"/>
          </w:tcPr>
          <w:p>
            <w:pPr>
              <w:autoSpaceDE w:val="0"/>
              <w:autoSpaceDN w:val="0"/>
              <w:snapToGrid w:val="0"/>
              <w:ind w:hanging="10"/>
              <w:jc w:val="left"/>
              <w:rPr>
                <w:rFonts w:ascii="宋体" w:hAnsi="宋体" w:cs="宋体"/>
                <w:color w:val="auto"/>
                <w:sz w:val="22"/>
                <w:szCs w:val="22"/>
                <w:highlight w:val="none"/>
              </w:rPr>
            </w:pPr>
            <w:r>
              <w:rPr>
                <w:rFonts w:hint="eastAsia" w:ascii="宋体" w:hAnsi="宋体" w:cs="Arial"/>
                <w:color w:val="auto"/>
                <w:sz w:val="22"/>
                <w:szCs w:val="22"/>
                <w:highlight w:val="none"/>
              </w:rPr>
              <w:t>针对本项目特点和难点分析及解决措施</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（8）</w:t>
            </w:r>
          </w:p>
        </w:tc>
        <w:tc>
          <w:tcPr>
            <w:tcW w:w="7057" w:type="dxa"/>
            <w:vAlign w:val="center"/>
          </w:tcPr>
          <w:p>
            <w:pPr>
              <w:tabs>
                <w:tab w:val="left" w:pos="5355"/>
              </w:tabs>
              <w:spacing w:line="240" w:lineRule="exact"/>
              <w:rPr>
                <w:rFonts w:ascii="宋体" w:hAnsi="宋体" w:cs="宋体"/>
                <w:color w:val="auto"/>
                <w:sz w:val="22"/>
                <w:szCs w:val="22"/>
                <w:highlight w:val="none"/>
              </w:rPr>
            </w:pPr>
            <w:r>
              <w:rPr>
                <w:rFonts w:hint="eastAsia" w:ascii="宋体" w:hAnsi="宋体" w:cs="Arial"/>
                <w:color w:val="auto"/>
                <w:sz w:val="22"/>
                <w:szCs w:val="22"/>
                <w:highlight w:val="none"/>
              </w:rPr>
              <w:t>服务提升方案</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（9）</w:t>
            </w:r>
          </w:p>
        </w:tc>
        <w:tc>
          <w:tcPr>
            <w:tcW w:w="7057" w:type="dxa"/>
            <w:vAlign w:val="center"/>
          </w:tcPr>
          <w:p>
            <w:pPr>
              <w:tabs>
                <w:tab w:val="left" w:pos="5355"/>
              </w:tabs>
              <w:spacing w:line="240" w:lineRule="exact"/>
              <w:rPr>
                <w:rFonts w:ascii="宋体" w:hAnsi="宋体" w:cs="Arial"/>
                <w:color w:val="auto"/>
                <w:sz w:val="22"/>
                <w:szCs w:val="22"/>
                <w:highlight w:val="none"/>
              </w:rPr>
            </w:pPr>
            <w:r>
              <w:rPr>
                <w:rFonts w:hint="eastAsia" w:ascii="宋体" w:hAnsi="宋体" w:cs="Arial"/>
                <w:color w:val="auto"/>
                <w:sz w:val="22"/>
                <w:szCs w:val="22"/>
                <w:highlight w:val="none"/>
              </w:rPr>
              <w:t>预案体系建设方案</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rPr>
                <w:rFonts w:ascii="宋体" w:hAnsi="宋体" w:cs="宋体"/>
                <w:color w:val="auto"/>
                <w:sz w:val="22"/>
                <w:szCs w:val="22"/>
                <w:highlight w:val="none"/>
              </w:rPr>
            </w:pPr>
            <w:r>
              <w:rPr>
                <w:rFonts w:hint="eastAsia" w:ascii="宋体" w:hAnsi="宋体" w:cs="宋体"/>
                <w:color w:val="auto"/>
                <w:sz w:val="22"/>
                <w:szCs w:val="22"/>
                <w:highlight w:val="none"/>
              </w:rPr>
              <w:t>（10）</w:t>
            </w:r>
          </w:p>
        </w:tc>
        <w:tc>
          <w:tcPr>
            <w:tcW w:w="7057" w:type="dxa"/>
            <w:vAlign w:val="center"/>
          </w:tcPr>
          <w:p>
            <w:pPr>
              <w:tabs>
                <w:tab w:val="left" w:pos="5355"/>
              </w:tabs>
              <w:spacing w:line="240" w:lineRule="exact"/>
              <w:rPr>
                <w:rFonts w:ascii="宋体" w:hAnsi="宋体" w:cs="Arial"/>
                <w:color w:val="auto"/>
                <w:sz w:val="22"/>
                <w:szCs w:val="22"/>
                <w:highlight w:val="none"/>
              </w:rPr>
            </w:pPr>
            <w:r>
              <w:rPr>
                <w:rFonts w:hint="eastAsia" w:ascii="宋体" w:hAnsi="宋体" w:cs="Arial"/>
                <w:color w:val="auto"/>
                <w:sz w:val="22"/>
                <w:szCs w:val="22"/>
                <w:highlight w:val="none"/>
              </w:rPr>
              <w:t>企业员工培训计划及方案</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（11）</w:t>
            </w:r>
          </w:p>
        </w:tc>
        <w:tc>
          <w:tcPr>
            <w:tcW w:w="7057" w:type="dxa"/>
            <w:vAlign w:val="center"/>
          </w:tcPr>
          <w:p>
            <w:pPr>
              <w:tabs>
                <w:tab w:val="left" w:pos="5355"/>
              </w:tabs>
              <w:spacing w:line="240" w:lineRule="exact"/>
              <w:rPr>
                <w:rFonts w:ascii="宋体" w:hAnsi="宋体" w:cs="Arial"/>
                <w:color w:val="auto"/>
                <w:sz w:val="22"/>
                <w:szCs w:val="22"/>
                <w:highlight w:val="none"/>
              </w:rPr>
            </w:pPr>
            <w:r>
              <w:rPr>
                <w:rFonts w:hint="eastAsia" w:ascii="宋体" w:hAnsi="宋体"/>
                <w:snapToGrid w:val="0"/>
                <w:color w:val="auto"/>
                <w:sz w:val="22"/>
                <w:szCs w:val="22"/>
                <w:highlight w:val="none"/>
              </w:rPr>
              <w:t>优惠承诺</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（12）</w:t>
            </w:r>
          </w:p>
        </w:tc>
        <w:tc>
          <w:tcPr>
            <w:tcW w:w="7057" w:type="dxa"/>
            <w:vAlign w:val="center"/>
          </w:tcPr>
          <w:p>
            <w:pPr>
              <w:tabs>
                <w:tab w:val="left" w:pos="5355"/>
              </w:tabs>
              <w:spacing w:line="240" w:lineRule="exact"/>
              <w:rPr>
                <w:rFonts w:ascii="宋体" w:hAnsi="宋体" w:cs="宋体"/>
                <w:color w:val="auto"/>
                <w:sz w:val="22"/>
                <w:szCs w:val="22"/>
                <w:highlight w:val="none"/>
              </w:rPr>
            </w:pPr>
            <w:r>
              <w:rPr>
                <w:rFonts w:hint="eastAsia" w:ascii="宋体" w:hAnsi="宋体" w:cs="宋体"/>
                <w:color w:val="auto"/>
                <w:sz w:val="22"/>
                <w:szCs w:val="22"/>
                <w:highlight w:val="none"/>
              </w:rPr>
              <w:t>投标人需要说明的跟本次投标有关的其他资料和说明</w:t>
            </w:r>
          </w:p>
        </w:tc>
        <w:tc>
          <w:tcPr>
            <w:tcW w:w="1324" w:type="dxa"/>
            <w:vAlign w:val="center"/>
          </w:tcPr>
          <w:p>
            <w:pPr>
              <w:spacing w:line="240" w:lineRule="exact"/>
              <w:jc w:val="center"/>
              <w:rPr>
                <w:rFonts w:ascii="宋体" w:hAnsi="宋体" w:cs="宋体"/>
                <w:color w:val="auto"/>
                <w:sz w:val="22"/>
                <w:szCs w:val="22"/>
                <w:highlight w:val="none"/>
              </w:rPr>
            </w:pPr>
          </w:p>
        </w:tc>
      </w:tr>
    </w:tbl>
    <w:p>
      <w:pPr>
        <w:ind w:left="187" w:leftChars="85" w:hanging="9" w:hangingChars="4"/>
        <w:rPr>
          <w:rFonts w:ascii="宋体" w:hAnsi="宋体" w:cs="宋体"/>
          <w:b/>
          <w:color w:val="auto"/>
          <w:sz w:val="22"/>
          <w:szCs w:val="22"/>
          <w:highlight w:val="none"/>
        </w:rPr>
      </w:pPr>
      <w:r>
        <w:rPr>
          <w:rFonts w:hint="eastAsia" w:ascii="宋体" w:hAnsi="宋体" w:cs="宋体"/>
          <w:b/>
          <w:color w:val="auto"/>
          <w:sz w:val="22"/>
          <w:szCs w:val="22"/>
          <w:highlight w:val="none"/>
        </w:rPr>
        <w:t>技术资信标说明：</w:t>
      </w:r>
    </w:p>
    <w:p>
      <w:pPr>
        <w:tabs>
          <w:tab w:val="left" w:pos="5355"/>
        </w:tabs>
        <w:ind w:left="360"/>
        <w:rPr>
          <w:rFonts w:ascii="宋体" w:hAnsi="宋体" w:cs="宋体"/>
          <w:color w:val="auto"/>
          <w:sz w:val="22"/>
          <w:szCs w:val="22"/>
          <w:highlight w:val="none"/>
        </w:rPr>
      </w:pPr>
      <w:r>
        <w:rPr>
          <w:rFonts w:hint="eastAsia" w:ascii="宋体" w:hAnsi="宋体" w:cs="宋体"/>
          <w:color w:val="auto"/>
          <w:sz w:val="22"/>
          <w:szCs w:val="22"/>
          <w:highlight w:val="none"/>
        </w:rPr>
        <w:t>1）投标人可根据采购文件中的技术规格书以及技术资信评分表，提供投标人认为需要提供的文件和资料。</w:t>
      </w:r>
    </w:p>
    <w:p>
      <w:pPr>
        <w:tabs>
          <w:tab w:val="left" w:pos="5355"/>
        </w:tabs>
        <w:ind w:left="360"/>
        <w:rPr>
          <w:rFonts w:ascii="宋体" w:hAnsi="宋体" w:cs="宋体"/>
          <w:color w:val="auto"/>
          <w:sz w:val="22"/>
          <w:szCs w:val="22"/>
          <w:highlight w:val="none"/>
        </w:rPr>
      </w:pPr>
      <w:r>
        <w:rPr>
          <w:rFonts w:hint="eastAsia" w:ascii="宋体" w:hAnsi="宋体" w:cs="宋体"/>
          <w:color w:val="auto"/>
          <w:sz w:val="22"/>
          <w:szCs w:val="22"/>
          <w:highlight w:val="none"/>
        </w:rPr>
        <w:t>2）以上所需的各种证书、证件、证明、执照若系复印件，须在复印件上加盖投标人有效的公章。</w:t>
      </w:r>
    </w:p>
    <w:p>
      <w:pPr>
        <w:tabs>
          <w:tab w:val="left" w:pos="5355"/>
        </w:tabs>
        <w:ind w:left="360"/>
        <w:rPr>
          <w:rFonts w:ascii="宋体" w:hAnsi="宋体" w:cs="宋体"/>
          <w:b/>
          <w:color w:val="auto"/>
          <w:sz w:val="22"/>
          <w:szCs w:val="22"/>
          <w:highlight w:val="none"/>
        </w:rPr>
      </w:pPr>
      <w:r>
        <w:rPr>
          <w:rFonts w:hint="eastAsia" w:ascii="宋体" w:hAnsi="宋体" w:cs="宋体"/>
          <w:color w:val="auto"/>
          <w:sz w:val="22"/>
          <w:szCs w:val="22"/>
          <w:highlight w:val="none"/>
        </w:rPr>
        <w:t>3）投标人可在投标文件中对采购服务的标准和要求提出符合实际情况的变更方案，但必须相当于或优于采购文件中提出的相应要求，并使采购人满意。同时在技术偏离表中作出详细说明。</w:t>
      </w:r>
    </w:p>
    <w:p>
      <w:pPr>
        <w:rPr>
          <w:rFonts w:ascii="宋体" w:hAnsi="宋体" w:cs="宋体"/>
          <w:b/>
          <w:color w:val="auto"/>
          <w:sz w:val="22"/>
          <w:szCs w:val="22"/>
          <w:highlight w:val="none"/>
        </w:rPr>
      </w:pPr>
      <w:r>
        <w:rPr>
          <w:rFonts w:hint="eastAsia" w:ascii="宋体" w:hAnsi="宋体" w:cs="宋体"/>
          <w:b/>
          <w:color w:val="auto"/>
          <w:sz w:val="22"/>
          <w:szCs w:val="22"/>
          <w:highlight w:val="none"/>
        </w:rPr>
        <w:t>（2） 商务（报价）标</w:t>
      </w:r>
    </w:p>
    <w:tbl>
      <w:tblPr>
        <w:tblStyle w:val="27"/>
        <w:tblW w:w="92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62"/>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jc w:val="center"/>
              <w:rPr>
                <w:rFonts w:ascii="宋体" w:hAnsi="宋体" w:cs="宋体"/>
                <w:color w:val="auto"/>
                <w:sz w:val="22"/>
                <w:szCs w:val="22"/>
                <w:highlight w:val="none"/>
              </w:rPr>
            </w:pPr>
            <w:r>
              <w:rPr>
                <w:rFonts w:hint="eastAsia" w:ascii="宋体" w:hAnsi="宋体" w:cs="宋体"/>
                <w:color w:val="auto"/>
                <w:sz w:val="22"/>
                <w:szCs w:val="22"/>
                <w:highlight w:val="none"/>
              </w:rPr>
              <w:t>序号</w:t>
            </w:r>
          </w:p>
        </w:tc>
        <w:tc>
          <w:tcPr>
            <w:tcW w:w="7062" w:type="dxa"/>
            <w:vAlign w:val="center"/>
          </w:tcPr>
          <w:p>
            <w:pPr>
              <w:jc w:val="center"/>
              <w:rPr>
                <w:rFonts w:ascii="宋体" w:hAnsi="宋体" w:cs="宋体"/>
                <w:color w:val="auto"/>
                <w:sz w:val="22"/>
                <w:szCs w:val="22"/>
                <w:highlight w:val="none"/>
              </w:rPr>
            </w:pPr>
            <w:r>
              <w:rPr>
                <w:rFonts w:hint="eastAsia" w:ascii="宋体" w:hAnsi="宋体" w:cs="宋体"/>
                <w:color w:val="auto"/>
                <w:sz w:val="22"/>
                <w:szCs w:val="22"/>
                <w:highlight w:val="none"/>
              </w:rPr>
              <w:t>内容</w:t>
            </w:r>
          </w:p>
        </w:tc>
        <w:tc>
          <w:tcPr>
            <w:tcW w:w="1365" w:type="dxa"/>
            <w:vAlign w:val="center"/>
          </w:tcPr>
          <w:p>
            <w:pPr>
              <w:jc w:val="center"/>
              <w:rPr>
                <w:rFonts w:ascii="宋体" w:hAnsi="宋体" w:cs="宋体"/>
                <w:color w:val="auto"/>
                <w:sz w:val="22"/>
                <w:szCs w:val="22"/>
                <w:highlight w:val="none"/>
              </w:rPr>
            </w:pPr>
            <w:r>
              <w:rPr>
                <w:rFonts w:hint="eastAsia" w:ascii="宋体" w:hAnsi="宋体" w:cs="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jc w:val="center"/>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7062" w:type="dxa"/>
            <w:vAlign w:val="center"/>
          </w:tcPr>
          <w:p>
            <w:pPr>
              <w:rPr>
                <w:rFonts w:ascii="宋体" w:hAnsi="宋体" w:cs="宋体"/>
                <w:b/>
                <w:color w:val="auto"/>
                <w:sz w:val="22"/>
                <w:szCs w:val="22"/>
                <w:highlight w:val="none"/>
              </w:rPr>
            </w:pPr>
            <w:r>
              <w:rPr>
                <w:rFonts w:hint="eastAsia" w:ascii="宋体" w:hAnsi="宋体" w:cs="宋体"/>
                <w:color w:val="auto"/>
                <w:sz w:val="22"/>
                <w:szCs w:val="22"/>
                <w:highlight w:val="none"/>
              </w:rPr>
              <w:t>开标一览表</w:t>
            </w:r>
          </w:p>
        </w:tc>
        <w:tc>
          <w:tcPr>
            <w:tcW w:w="1365" w:type="dxa"/>
            <w:vAlign w:val="center"/>
          </w:tcPr>
          <w:p>
            <w:pPr>
              <w:jc w:val="center"/>
              <w:rPr>
                <w:rFonts w:ascii="宋体" w:hAnsi="宋体" w:cs="宋体"/>
                <w:b/>
                <w:color w:val="auto"/>
                <w:sz w:val="22"/>
                <w:szCs w:val="22"/>
                <w:highlight w:val="none"/>
              </w:rPr>
            </w:pPr>
            <w:r>
              <w:rPr>
                <w:rFonts w:hint="eastAsia" w:ascii="宋体" w:hAnsi="宋体" w:cs="宋体"/>
                <w:color w:val="auto"/>
                <w:sz w:val="22"/>
                <w:szCs w:val="22"/>
                <w:highlight w:val="none"/>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jc w:val="center"/>
              <w:rPr>
                <w:rFonts w:ascii="宋体" w:hAnsi="宋体" w:cs="宋体"/>
                <w:color w:val="auto"/>
                <w:sz w:val="22"/>
                <w:szCs w:val="22"/>
                <w:highlight w:val="none"/>
              </w:rPr>
            </w:pPr>
            <w:r>
              <w:rPr>
                <w:rFonts w:hint="eastAsia" w:ascii="宋体" w:hAnsi="宋体" w:cs="宋体"/>
                <w:color w:val="auto"/>
                <w:sz w:val="22"/>
                <w:szCs w:val="22"/>
                <w:highlight w:val="none"/>
              </w:rPr>
              <w:t>2）</w:t>
            </w:r>
          </w:p>
        </w:tc>
        <w:tc>
          <w:tcPr>
            <w:tcW w:w="7062" w:type="dxa"/>
            <w:vAlign w:val="center"/>
          </w:tcPr>
          <w:p>
            <w:pPr>
              <w:rPr>
                <w:rFonts w:ascii="宋体" w:hAnsi="宋体" w:cs="宋体"/>
                <w:color w:val="auto"/>
                <w:sz w:val="22"/>
                <w:szCs w:val="22"/>
                <w:highlight w:val="none"/>
              </w:rPr>
            </w:pPr>
            <w:r>
              <w:rPr>
                <w:rFonts w:hint="eastAsia" w:ascii="宋体" w:hAnsi="宋体" w:cs="宋体"/>
                <w:color w:val="auto"/>
                <w:sz w:val="22"/>
                <w:szCs w:val="22"/>
                <w:highlight w:val="none"/>
              </w:rPr>
              <w:t>投标分项报价表</w:t>
            </w:r>
          </w:p>
        </w:tc>
        <w:tc>
          <w:tcPr>
            <w:tcW w:w="1365" w:type="dxa"/>
            <w:vAlign w:val="center"/>
          </w:tcPr>
          <w:p>
            <w:pPr>
              <w:jc w:val="center"/>
              <w:rPr>
                <w:rFonts w:ascii="宋体" w:hAnsi="宋体" w:cs="宋体"/>
                <w:color w:val="auto"/>
                <w:sz w:val="22"/>
                <w:szCs w:val="22"/>
                <w:highlight w:val="none"/>
              </w:rPr>
            </w:pPr>
            <w:r>
              <w:rPr>
                <w:rFonts w:hint="eastAsia" w:ascii="宋体" w:hAnsi="宋体" w:cs="宋体"/>
                <w:color w:val="auto"/>
                <w:sz w:val="22"/>
                <w:szCs w:val="22"/>
                <w:highlight w:val="none"/>
              </w:rPr>
              <w:t>附件七</w:t>
            </w:r>
          </w:p>
        </w:tc>
      </w:tr>
    </w:tbl>
    <w:p>
      <w:pPr>
        <w:rPr>
          <w:rFonts w:ascii="宋体" w:hAnsi="宋体" w:cs="宋体"/>
          <w:b/>
          <w:color w:val="auto"/>
          <w:sz w:val="22"/>
          <w:szCs w:val="22"/>
          <w:highlight w:val="none"/>
        </w:rPr>
      </w:pPr>
      <w:r>
        <w:rPr>
          <w:rFonts w:hint="eastAsia" w:ascii="宋体" w:hAnsi="宋体" w:cs="宋体"/>
          <w:b/>
          <w:color w:val="auto"/>
          <w:sz w:val="22"/>
          <w:szCs w:val="22"/>
          <w:highlight w:val="none"/>
        </w:rPr>
        <w:t>11.2  投标文件格式</w:t>
      </w:r>
    </w:p>
    <w:p>
      <w:pPr>
        <w:numPr>
          <w:ilvl w:val="0"/>
          <w:numId w:val="3"/>
        </w:numPr>
        <w:tabs>
          <w:tab w:val="left" w:pos="530"/>
        </w:tabs>
        <w:autoSpaceDE w:val="0"/>
        <w:autoSpaceDN w:val="0"/>
        <w:textAlignment w:val="bottom"/>
        <w:rPr>
          <w:rFonts w:ascii="宋体" w:hAnsi="宋体" w:cs="宋体"/>
          <w:color w:val="auto"/>
          <w:sz w:val="22"/>
          <w:szCs w:val="22"/>
          <w:highlight w:val="none"/>
        </w:rPr>
      </w:pPr>
      <w:r>
        <w:rPr>
          <w:rFonts w:hint="eastAsia" w:ascii="宋体" w:hAnsi="宋体" w:cs="宋体"/>
          <w:color w:val="auto"/>
          <w:sz w:val="22"/>
          <w:szCs w:val="22"/>
          <w:highlight w:val="none"/>
        </w:rPr>
        <w:t>投标人应根据采购文件中所提供的格式，内容按顺序填写并装订成册，不允许以活页夹形式装订投标文件。</w:t>
      </w:r>
    </w:p>
    <w:p>
      <w:pPr>
        <w:numPr>
          <w:ilvl w:val="0"/>
          <w:numId w:val="3"/>
        </w:numPr>
        <w:tabs>
          <w:tab w:val="left" w:pos="530"/>
        </w:tabs>
        <w:autoSpaceDE w:val="0"/>
        <w:autoSpaceDN w:val="0"/>
        <w:textAlignment w:val="bottom"/>
        <w:rPr>
          <w:rFonts w:ascii="宋体" w:hAnsi="宋体" w:cs="宋体"/>
          <w:color w:val="auto"/>
          <w:sz w:val="22"/>
          <w:szCs w:val="22"/>
          <w:highlight w:val="none"/>
        </w:rPr>
      </w:pPr>
      <w:r>
        <w:rPr>
          <w:rFonts w:hint="eastAsia" w:ascii="宋体" w:hAnsi="宋体" w:cs="宋体"/>
          <w:color w:val="auto"/>
          <w:sz w:val="22"/>
          <w:szCs w:val="22"/>
          <w:highlight w:val="none"/>
        </w:rPr>
        <w:t>投标文件应有目录以及页码，以便评委检索。</w:t>
      </w:r>
    </w:p>
    <w:p>
      <w:pPr>
        <w:numPr>
          <w:ilvl w:val="0"/>
          <w:numId w:val="3"/>
        </w:numPr>
        <w:tabs>
          <w:tab w:val="left" w:pos="530"/>
        </w:tabs>
        <w:autoSpaceDE w:val="0"/>
        <w:autoSpaceDN w:val="0"/>
        <w:textAlignment w:val="bottom"/>
        <w:rPr>
          <w:rFonts w:ascii="宋体" w:hAnsi="宋体" w:cs="宋体"/>
          <w:color w:val="auto"/>
          <w:sz w:val="22"/>
          <w:szCs w:val="22"/>
          <w:highlight w:val="none"/>
        </w:rPr>
      </w:pPr>
      <w:r>
        <w:rPr>
          <w:rFonts w:hint="eastAsia" w:ascii="宋体" w:hAnsi="宋体" w:cs="宋体"/>
          <w:color w:val="auto"/>
          <w:sz w:val="22"/>
          <w:szCs w:val="22"/>
          <w:highlight w:val="none"/>
        </w:rPr>
        <w:t>投标文件尽可能简练有针对性，尽可能双面打印/复印后装订。</w:t>
      </w:r>
    </w:p>
    <w:p>
      <w:pPr>
        <w:numPr>
          <w:ilvl w:val="0"/>
          <w:numId w:val="3"/>
        </w:numPr>
        <w:tabs>
          <w:tab w:val="left" w:pos="530"/>
        </w:tabs>
        <w:autoSpaceDE w:val="0"/>
        <w:autoSpaceDN w:val="0"/>
        <w:textAlignment w:val="bottom"/>
        <w:rPr>
          <w:rFonts w:ascii="宋体" w:hAnsi="宋体" w:cs="宋体"/>
          <w:color w:val="auto"/>
          <w:highlight w:val="none"/>
        </w:rPr>
      </w:pPr>
      <w:r>
        <w:rPr>
          <w:rFonts w:hint="eastAsia" w:ascii="宋体" w:hAnsi="宋体" w:cs="宋体"/>
          <w:color w:val="auto"/>
          <w:sz w:val="22"/>
          <w:szCs w:val="22"/>
          <w:highlight w:val="none"/>
        </w:rPr>
        <w:t>投标文件技术资信标、商务（报价）标须分别单独装订成册，并分别密封包装于件技术资信标、商务（报价）标标函袋中（标函袋不做统一要求）。</w:t>
      </w:r>
    </w:p>
    <w:p>
      <w:pPr>
        <w:numPr>
          <w:ilvl w:val="0"/>
          <w:numId w:val="2"/>
        </w:numPr>
        <w:tabs>
          <w:tab w:val="left" w:pos="525"/>
          <w:tab w:val="left" w:pos="900"/>
        </w:tabs>
        <w:ind w:left="525" w:hanging="525"/>
        <w:rPr>
          <w:rFonts w:ascii="宋体" w:hAnsi="宋体" w:cs="宋体"/>
          <w:color w:val="auto"/>
          <w:sz w:val="22"/>
          <w:szCs w:val="22"/>
          <w:highlight w:val="none"/>
        </w:rPr>
      </w:pPr>
      <w:r>
        <w:rPr>
          <w:rFonts w:hint="eastAsia" w:ascii="宋体" w:hAnsi="宋体" w:cs="宋体"/>
          <w:color w:val="auto"/>
          <w:sz w:val="22"/>
          <w:szCs w:val="22"/>
          <w:highlight w:val="none"/>
        </w:rPr>
        <w:t>投标报价</w:t>
      </w:r>
    </w:p>
    <w:p>
      <w:pPr>
        <w:tabs>
          <w:tab w:val="left" w:pos="1080"/>
        </w:tabs>
        <w:ind w:left="524" w:hanging="523" w:hangingChars="238"/>
        <w:rPr>
          <w:rFonts w:ascii="宋体" w:hAnsi="宋体" w:cs="宋体"/>
          <w:b/>
          <w:bCs/>
          <w:color w:val="auto"/>
          <w:sz w:val="22"/>
          <w:szCs w:val="22"/>
          <w:highlight w:val="none"/>
          <w:u w:val="single"/>
        </w:rPr>
      </w:pPr>
      <w:r>
        <w:rPr>
          <w:rFonts w:hint="eastAsia" w:ascii="宋体" w:hAnsi="宋体" w:cs="宋体"/>
          <w:color w:val="auto"/>
          <w:sz w:val="22"/>
          <w:szCs w:val="22"/>
          <w:highlight w:val="none"/>
        </w:rPr>
        <w:t>12.1</w:t>
      </w:r>
      <w:r>
        <w:rPr>
          <w:rFonts w:hint="eastAsia" w:ascii="宋体" w:hAnsi="宋体" w:cs="宋体"/>
          <w:b/>
          <w:bCs/>
          <w:color w:val="auto"/>
          <w:sz w:val="22"/>
          <w:szCs w:val="22"/>
          <w:highlight w:val="none"/>
          <w:u w:val="single"/>
        </w:rPr>
        <w:t>▲</w:t>
      </w:r>
      <w:r>
        <w:rPr>
          <w:rFonts w:hint="eastAsia" w:hAnsi="宋体" w:cs="Arial"/>
          <w:b/>
          <w:snapToGrid w:val="0"/>
          <w:color w:val="auto"/>
          <w:kern w:val="0"/>
          <w:sz w:val="22"/>
          <w:szCs w:val="22"/>
          <w:highlight w:val="none"/>
          <w:u w:val="single"/>
        </w:rPr>
        <w:t>本项目投标报价为期限壹年的承包费用报价，</w:t>
      </w:r>
      <w:r>
        <w:rPr>
          <w:rFonts w:hint="eastAsia" w:hAnsi="宋体" w:cs="仿宋_GB2312"/>
          <w:b/>
          <w:color w:val="auto"/>
          <w:sz w:val="22"/>
          <w:szCs w:val="22"/>
          <w:highlight w:val="none"/>
          <w:u w:val="single"/>
          <w:lang w:val="zh-CN"/>
        </w:rPr>
        <w:t>包括但不限于在</w:t>
      </w:r>
      <w:r>
        <w:rPr>
          <w:rFonts w:hint="eastAsia" w:hAnsi="宋体" w:cs="仿宋_GB2312"/>
          <w:b/>
          <w:color w:val="auto"/>
          <w:sz w:val="22"/>
          <w:highlight w:val="none"/>
          <w:u w:val="single"/>
          <w:lang w:val="zh-CN"/>
        </w:rPr>
        <w:t>承包区域内提供服务所需的人工费（包括工人工资、奖金、加班、劳保福利、社保、意外保险、工伤费、</w:t>
      </w:r>
      <w:r>
        <w:rPr>
          <w:rFonts w:hint="eastAsia" w:hAnsi="宋体" w:cs="仿宋_GB2312"/>
          <w:b/>
          <w:color w:val="auto"/>
          <w:sz w:val="22"/>
          <w:highlight w:val="none"/>
          <w:u w:val="single"/>
        </w:rPr>
        <w:t>服装费、</w:t>
      </w:r>
      <w:r>
        <w:rPr>
          <w:rFonts w:hint="eastAsia" w:hAnsi="宋体" w:cs="仿宋_GB2312"/>
          <w:b/>
          <w:color w:val="auto"/>
          <w:sz w:val="22"/>
          <w:highlight w:val="none"/>
          <w:u w:val="single"/>
          <w:lang w:val="zh-CN"/>
        </w:rPr>
        <w:t>教育培训费及处理一切伤亡事故等费用）、企业应缴税金和应得利润、应急等完成合同所需的一切本身和不可或缺的所有工作开支、政策性文件规定</w:t>
      </w:r>
      <w:r>
        <w:rPr>
          <w:rFonts w:hint="eastAsia" w:hAnsi="宋体" w:cs="仿宋_GB2312"/>
          <w:b/>
          <w:color w:val="auto"/>
          <w:sz w:val="22"/>
          <w:highlight w:val="none"/>
          <w:u w:val="single"/>
          <w:lang w:val="en-US" w:eastAsia="zh-CN"/>
        </w:rPr>
        <w:t>及</w:t>
      </w:r>
      <w:r>
        <w:rPr>
          <w:rFonts w:hint="eastAsia" w:hAnsi="宋体" w:cs="仿宋_GB2312"/>
          <w:b/>
          <w:color w:val="auto"/>
          <w:sz w:val="22"/>
          <w:highlight w:val="none"/>
          <w:u w:val="single"/>
          <w:lang w:val="zh-CN"/>
        </w:rPr>
        <w:t>合同包含的所有风险、责任等各项全部费用并承担一切风险责任</w:t>
      </w:r>
      <w:r>
        <w:rPr>
          <w:rFonts w:hint="eastAsia" w:hAnsi="宋体" w:cs="仿宋_GB2312"/>
          <w:b/>
          <w:bCs/>
          <w:color w:val="auto"/>
          <w:sz w:val="22"/>
          <w:highlight w:val="none"/>
          <w:u w:val="single"/>
          <w:lang w:val="zh-CN"/>
        </w:rPr>
        <w:t>。采用固定综合单价承包。</w:t>
      </w:r>
    </w:p>
    <w:p>
      <w:pPr>
        <w:tabs>
          <w:tab w:val="left" w:pos="1080"/>
        </w:tabs>
        <w:ind w:left="524" w:hanging="523" w:hangingChars="238"/>
        <w:rPr>
          <w:rFonts w:ascii="宋体" w:hAnsi="宋体" w:cs="宋体"/>
          <w:color w:val="auto"/>
          <w:sz w:val="22"/>
          <w:szCs w:val="22"/>
          <w:highlight w:val="none"/>
        </w:rPr>
      </w:pPr>
      <w:r>
        <w:rPr>
          <w:rFonts w:hint="eastAsia" w:ascii="宋体" w:hAnsi="宋体" w:cs="宋体"/>
          <w:color w:val="auto"/>
          <w:sz w:val="22"/>
          <w:szCs w:val="22"/>
          <w:highlight w:val="none"/>
        </w:rPr>
        <w:t>12.2 投标人必须按第四部分附件中的开标一览表（统一格式）、投标分项报价表（统一格式）的内容填写单价、合价及其他事项，并由法定代表人或授权代表签署。</w:t>
      </w:r>
    </w:p>
    <w:p>
      <w:pPr>
        <w:tabs>
          <w:tab w:val="left" w:pos="1080"/>
        </w:tabs>
        <w:ind w:left="524" w:hanging="523" w:hangingChars="238"/>
        <w:rPr>
          <w:rFonts w:ascii="宋体" w:hAnsi="宋体" w:cs="宋体"/>
          <w:color w:val="auto"/>
          <w:sz w:val="22"/>
          <w:szCs w:val="22"/>
          <w:highlight w:val="none"/>
        </w:rPr>
      </w:pPr>
      <w:r>
        <w:rPr>
          <w:rFonts w:hint="eastAsia" w:ascii="宋体" w:hAnsi="宋体" w:cs="宋体"/>
          <w:color w:val="auto"/>
          <w:sz w:val="22"/>
          <w:szCs w:val="22"/>
          <w:highlight w:val="none"/>
        </w:rPr>
        <w:t>12.3 所有报价均以人民币报价。</w:t>
      </w:r>
    </w:p>
    <w:p>
      <w:pPr>
        <w:tabs>
          <w:tab w:val="left" w:pos="1080"/>
        </w:tabs>
        <w:ind w:left="524" w:hanging="523" w:hangingChars="238"/>
        <w:rPr>
          <w:rFonts w:ascii="宋体" w:hAnsi="宋体" w:cs="宋体"/>
          <w:color w:val="auto"/>
          <w:sz w:val="22"/>
          <w:szCs w:val="22"/>
          <w:highlight w:val="none"/>
        </w:rPr>
      </w:pPr>
      <w:r>
        <w:rPr>
          <w:rFonts w:hint="eastAsia" w:ascii="宋体" w:hAnsi="宋体" w:cs="宋体"/>
          <w:color w:val="auto"/>
          <w:sz w:val="22"/>
          <w:szCs w:val="22"/>
          <w:highlight w:val="none"/>
        </w:rPr>
        <w:t xml:space="preserve">12.4 </w:t>
      </w:r>
      <w:r>
        <w:rPr>
          <w:rFonts w:hint="eastAsia" w:ascii="宋体" w:hAnsi="宋体" w:cs="宋体"/>
          <w:b/>
          <w:bCs/>
          <w:color w:val="auto"/>
          <w:sz w:val="22"/>
          <w:szCs w:val="22"/>
          <w:highlight w:val="none"/>
        </w:rPr>
        <w:t>采购人不接受任何选择报价，对每一种服务只允许一个报价。</w:t>
      </w:r>
    </w:p>
    <w:p>
      <w:pPr>
        <w:tabs>
          <w:tab w:val="left" w:pos="1080"/>
        </w:tabs>
        <w:ind w:left="524" w:hanging="523" w:hangingChars="238"/>
        <w:rPr>
          <w:rFonts w:ascii="宋体" w:hAnsi="宋体" w:cs="宋体"/>
          <w:color w:val="auto"/>
          <w:sz w:val="22"/>
          <w:szCs w:val="22"/>
          <w:highlight w:val="none"/>
        </w:rPr>
      </w:pPr>
      <w:r>
        <w:rPr>
          <w:rFonts w:hint="eastAsia" w:ascii="宋体" w:hAnsi="宋体" w:cs="宋体"/>
          <w:color w:val="auto"/>
          <w:sz w:val="22"/>
          <w:szCs w:val="22"/>
          <w:highlight w:val="none"/>
        </w:rPr>
        <w:t>12.5 采购人要求分类报价是为了方便评审，但在任何情况下不限制采购人以其认为最合适的条款、条件签订合同的权利。</w:t>
      </w:r>
    </w:p>
    <w:p>
      <w:pPr>
        <w:tabs>
          <w:tab w:val="left" w:pos="1080"/>
        </w:tabs>
        <w:ind w:left="524" w:hanging="523" w:hangingChars="238"/>
        <w:rPr>
          <w:rFonts w:ascii="宋体" w:hAnsi="宋体" w:cs="宋体"/>
          <w:color w:val="auto"/>
          <w:sz w:val="22"/>
          <w:szCs w:val="22"/>
          <w:highlight w:val="none"/>
        </w:rPr>
      </w:pPr>
      <w:r>
        <w:rPr>
          <w:rFonts w:hint="eastAsia" w:ascii="宋体" w:hAnsi="宋体" w:cs="宋体"/>
          <w:color w:val="auto"/>
          <w:sz w:val="22"/>
          <w:szCs w:val="22"/>
          <w:highlight w:val="none"/>
        </w:rPr>
        <w:t>12.6投标人所报的投标价在合同执行过程中作为最高限价，不得以任何理由予以变更。任何包含价格调整的要求，将被认为是非实质性响应投标而予以拒绝。</w:t>
      </w:r>
    </w:p>
    <w:p>
      <w:pPr>
        <w:tabs>
          <w:tab w:val="left" w:pos="1080"/>
        </w:tabs>
        <w:ind w:left="524" w:hanging="523" w:hangingChars="238"/>
        <w:rPr>
          <w:rFonts w:ascii="宋体" w:hAnsi="宋体" w:cs="宋体"/>
          <w:color w:val="auto"/>
          <w:sz w:val="22"/>
          <w:szCs w:val="22"/>
          <w:highlight w:val="none"/>
        </w:rPr>
      </w:pPr>
      <w:r>
        <w:rPr>
          <w:rFonts w:hint="eastAsia" w:ascii="宋体" w:hAnsi="宋体" w:cs="宋体"/>
          <w:color w:val="auto"/>
          <w:sz w:val="22"/>
          <w:szCs w:val="22"/>
          <w:highlight w:val="none"/>
        </w:rPr>
        <w:t>12.7</w:t>
      </w:r>
      <w:r>
        <w:rPr>
          <w:rFonts w:hint="eastAsia" w:ascii="宋体" w:hAnsi="宋体" w:cs="宋体"/>
          <w:b/>
          <w:bCs/>
          <w:color w:val="auto"/>
          <w:sz w:val="22"/>
          <w:szCs w:val="22"/>
          <w:highlight w:val="none"/>
        </w:rPr>
        <w:t>最低报价不作为中标的保证。</w:t>
      </w:r>
    </w:p>
    <w:p>
      <w:pPr>
        <w:numPr>
          <w:ilvl w:val="0"/>
          <w:numId w:val="2"/>
        </w:numPr>
        <w:tabs>
          <w:tab w:val="left" w:pos="525"/>
          <w:tab w:val="left" w:pos="900"/>
        </w:tabs>
        <w:ind w:left="525" w:hanging="525"/>
        <w:rPr>
          <w:rFonts w:ascii="宋体" w:hAnsi="宋体" w:cs="宋体"/>
          <w:b/>
          <w:color w:val="auto"/>
          <w:sz w:val="22"/>
          <w:szCs w:val="22"/>
          <w:highlight w:val="none"/>
          <w:u w:val="single"/>
        </w:rPr>
      </w:pPr>
      <w:r>
        <w:rPr>
          <w:rFonts w:hint="eastAsia" w:ascii="宋体" w:hAnsi="宋体" w:cs="宋体"/>
          <w:b/>
          <w:color w:val="auto"/>
          <w:sz w:val="22"/>
          <w:szCs w:val="22"/>
          <w:highlight w:val="none"/>
          <w:u w:val="single"/>
        </w:rPr>
        <w:t>▲投标保证金</w:t>
      </w:r>
    </w:p>
    <w:p>
      <w:pPr>
        <w:tabs>
          <w:tab w:val="left" w:pos="851"/>
          <w:tab w:val="left" w:pos="1080"/>
        </w:tabs>
        <w:ind w:left="524" w:hanging="523" w:hangingChars="238"/>
        <w:rPr>
          <w:rFonts w:ascii="宋体" w:hAnsi="宋体" w:cs="宋体"/>
          <w:color w:val="auto"/>
          <w:sz w:val="22"/>
          <w:szCs w:val="22"/>
          <w:highlight w:val="none"/>
        </w:rPr>
      </w:pPr>
      <w:r>
        <w:rPr>
          <w:rFonts w:hint="eastAsia" w:ascii="宋体" w:hAnsi="宋体" w:cs="宋体"/>
          <w:color w:val="auto"/>
          <w:sz w:val="22"/>
          <w:szCs w:val="22"/>
          <w:highlight w:val="none"/>
        </w:rPr>
        <w:t xml:space="preserve">13.1 </w:t>
      </w:r>
      <w:r>
        <w:rPr>
          <w:rFonts w:hint="eastAsia" w:ascii="宋体" w:hAnsi="宋体" w:cs="宋体"/>
          <w:b/>
          <w:bCs/>
          <w:color w:val="auto"/>
          <w:sz w:val="22"/>
          <w:szCs w:val="22"/>
          <w:highlight w:val="none"/>
          <w:u w:val="single"/>
        </w:rPr>
        <w:t>投标人须按投标人须知前附表规定交纳投标保证金，否则采购人将不接受其投标</w:t>
      </w:r>
      <w:r>
        <w:rPr>
          <w:rFonts w:hint="eastAsia" w:ascii="宋体" w:hAnsi="宋体" w:cs="宋体"/>
          <w:color w:val="auto"/>
          <w:sz w:val="22"/>
          <w:szCs w:val="22"/>
          <w:highlight w:val="none"/>
        </w:rPr>
        <w:t>。</w:t>
      </w:r>
    </w:p>
    <w:p>
      <w:pPr>
        <w:tabs>
          <w:tab w:val="left" w:pos="851"/>
          <w:tab w:val="left" w:pos="1080"/>
        </w:tabs>
        <w:ind w:left="524" w:hanging="523" w:hangingChars="238"/>
        <w:rPr>
          <w:rFonts w:ascii="宋体" w:hAnsi="宋体" w:cs="宋体"/>
          <w:color w:val="auto"/>
          <w:sz w:val="22"/>
          <w:szCs w:val="22"/>
          <w:highlight w:val="none"/>
        </w:rPr>
      </w:pPr>
      <w:r>
        <w:rPr>
          <w:rFonts w:hint="eastAsia" w:ascii="宋体" w:hAnsi="宋体" w:cs="宋体"/>
          <w:color w:val="auto"/>
          <w:sz w:val="22"/>
          <w:szCs w:val="22"/>
          <w:highlight w:val="none"/>
        </w:rPr>
        <w:t xml:space="preserve">13.2 </w:t>
      </w:r>
      <w:r>
        <w:rPr>
          <w:rFonts w:hint="eastAsia" w:ascii="宋体" w:hAnsi="宋体" w:cs="宋体"/>
          <w:bCs/>
          <w:color w:val="auto"/>
          <w:sz w:val="22"/>
          <w:highlight w:val="none"/>
        </w:rPr>
        <w:t>投标人的投标保证金在中标人与采购人签订了采购合同</w:t>
      </w:r>
      <w:r>
        <w:rPr>
          <w:rFonts w:hint="eastAsia" w:ascii="宋体" w:hAnsi="宋体" w:cs="宋体"/>
          <w:color w:val="auto"/>
          <w:sz w:val="22"/>
          <w:highlight w:val="none"/>
        </w:rPr>
        <w:t>并经送备案后政采云公司无息退还，未中标投标人的投标保证金将在中标公示期结束后由政采云公司无息退还。</w:t>
      </w:r>
    </w:p>
    <w:p>
      <w:pPr>
        <w:tabs>
          <w:tab w:val="left" w:pos="851"/>
          <w:tab w:val="left" w:pos="1080"/>
        </w:tabs>
        <w:ind w:left="524" w:hanging="523" w:hangingChars="238"/>
        <w:rPr>
          <w:rFonts w:ascii="宋体" w:hAnsi="宋体" w:cs="宋体"/>
          <w:color w:val="auto"/>
          <w:sz w:val="22"/>
          <w:szCs w:val="22"/>
          <w:highlight w:val="none"/>
        </w:rPr>
      </w:pPr>
      <w:r>
        <w:rPr>
          <w:rFonts w:hint="eastAsia" w:ascii="宋体" w:hAnsi="宋体" w:cs="宋体"/>
          <w:color w:val="auto"/>
          <w:sz w:val="22"/>
          <w:szCs w:val="22"/>
          <w:highlight w:val="none"/>
        </w:rPr>
        <w:t xml:space="preserve">13.3 </w:t>
      </w:r>
      <w:r>
        <w:rPr>
          <w:rFonts w:hint="eastAsia" w:ascii="宋体" w:hAnsi="宋体" w:cs="宋体"/>
          <w:b/>
          <w:color w:val="auto"/>
          <w:sz w:val="22"/>
          <w:szCs w:val="22"/>
          <w:highlight w:val="none"/>
          <w:u w:val="single"/>
        </w:rPr>
        <w:t>▲如发生下列情况之一，投标保证金将不予退还：</w:t>
      </w:r>
    </w:p>
    <w:p>
      <w:pPr>
        <w:numPr>
          <w:ilvl w:val="0"/>
          <w:numId w:val="4"/>
        </w:numPr>
        <w:tabs>
          <w:tab w:val="left" w:pos="525"/>
          <w:tab w:val="clear" w:pos="780"/>
        </w:tabs>
        <w:ind w:left="525" w:firstLine="0"/>
        <w:rPr>
          <w:rFonts w:ascii="宋体" w:hAnsi="宋体" w:cs="宋体"/>
          <w:color w:val="auto"/>
          <w:sz w:val="22"/>
          <w:szCs w:val="22"/>
          <w:highlight w:val="none"/>
        </w:rPr>
      </w:pPr>
      <w:r>
        <w:rPr>
          <w:rFonts w:hint="eastAsia" w:ascii="宋体" w:hAnsi="宋体" w:cs="宋体"/>
          <w:color w:val="auto"/>
          <w:sz w:val="22"/>
          <w:szCs w:val="22"/>
          <w:highlight w:val="none"/>
        </w:rPr>
        <w:t>投标人在采购文件规定的投标有效期内撤回投标；</w:t>
      </w:r>
    </w:p>
    <w:p>
      <w:pPr>
        <w:numPr>
          <w:ilvl w:val="0"/>
          <w:numId w:val="4"/>
        </w:numPr>
        <w:tabs>
          <w:tab w:val="left" w:pos="525"/>
          <w:tab w:val="clear" w:pos="780"/>
        </w:tabs>
        <w:ind w:left="525" w:firstLine="0"/>
        <w:rPr>
          <w:rFonts w:ascii="宋体" w:hAnsi="宋体" w:cs="宋体"/>
          <w:color w:val="auto"/>
          <w:sz w:val="22"/>
          <w:szCs w:val="22"/>
          <w:highlight w:val="none"/>
        </w:rPr>
      </w:pPr>
      <w:r>
        <w:rPr>
          <w:rFonts w:hint="eastAsia" w:ascii="宋体" w:hAnsi="宋体" w:cs="宋体"/>
          <w:color w:val="auto"/>
          <w:sz w:val="22"/>
          <w:szCs w:val="22"/>
          <w:highlight w:val="none"/>
        </w:rPr>
        <w:t>中标人未按中标通知书中规定的时间与采购人签订合同；</w:t>
      </w:r>
    </w:p>
    <w:p>
      <w:pPr>
        <w:numPr>
          <w:ilvl w:val="0"/>
          <w:numId w:val="4"/>
        </w:numPr>
        <w:tabs>
          <w:tab w:val="left" w:pos="525"/>
          <w:tab w:val="clear" w:pos="780"/>
        </w:tabs>
        <w:ind w:left="525" w:firstLine="0"/>
        <w:rPr>
          <w:rFonts w:ascii="宋体" w:hAnsi="宋体" w:cs="宋体"/>
          <w:color w:val="auto"/>
          <w:sz w:val="22"/>
          <w:szCs w:val="22"/>
          <w:highlight w:val="none"/>
        </w:rPr>
      </w:pPr>
      <w:r>
        <w:rPr>
          <w:rFonts w:hint="eastAsia" w:ascii="宋体" w:hAnsi="宋体" w:cs="宋体"/>
          <w:color w:val="auto"/>
          <w:sz w:val="22"/>
          <w:szCs w:val="22"/>
          <w:highlight w:val="none"/>
        </w:rPr>
        <w:t>投标人在投标文件中提供虚假技术指标及参数，经评标委员会确认属实的；</w:t>
      </w:r>
    </w:p>
    <w:p>
      <w:pPr>
        <w:numPr>
          <w:ilvl w:val="0"/>
          <w:numId w:val="4"/>
        </w:numPr>
        <w:tabs>
          <w:tab w:val="left" w:pos="525"/>
          <w:tab w:val="clear" w:pos="780"/>
        </w:tabs>
        <w:ind w:left="525" w:firstLine="0"/>
        <w:rPr>
          <w:rFonts w:ascii="宋体" w:hAnsi="宋体" w:cs="宋体"/>
          <w:color w:val="auto"/>
          <w:sz w:val="22"/>
          <w:szCs w:val="22"/>
          <w:highlight w:val="none"/>
        </w:rPr>
      </w:pPr>
      <w:r>
        <w:rPr>
          <w:rFonts w:hint="eastAsia" w:ascii="宋体" w:hAnsi="宋体" w:cs="宋体"/>
          <w:color w:val="auto"/>
          <w:sz w:val="22"/>
          <w:szCs w:val="22"/>
          <w:highlight w:val="none"/>
        </w:rPr>
        <w:t>经国企采购监督管理部门审查认定投标人有违反《温州市市属国有企业采购管理办法（试行）》等有关法律法规的行为。</w:t>
      </w:r>
    </w:p>
    <w:p>
      <w:pPr>
        <w:numPr>
          <w:ilvl w:val="0"/>
          <w:numId w:val="2"/>
        </w:numPr>
        <w:tabs>
          <w:tab w:val="left" w:pos="525"/>
          <w:tab w:val="left" w:pos="900"/>
        </w:tabs>
        <w:ind w:left="525" w:hanging="525"/>
        <w:rPr>
          <w:rFonts w:ascii="宋体" w:hAnsi="宋体" w:cs="宋体"/>
          <w:color w:val="auto"/>
          <w:sz w:val="22"/>
          <w:szCs w:val="22"/>
          <w:highlight w:val="none"/>
        </w:rPr>
      </w:pPr>
      <w:r>
        <w:rPr>
          <w:rFonts w:hint="eastAsia" w:ascii="宋体" w:hAnsi="宋体" w:cs="宋体"/>
          <w:color w:val="auto"/>
          <w:sz w:val="22"/>
          <w:szCs w:val="22"/>
          <w:highlight w:val="none"/>
        </w:rPr>
        <w:t>投标有效期</w:t>
      </w:r>
    </w:p>
    <w:p>
      <w:pPr>
        <w:tabs>
          <w:tab w:val="left" w:pos="1080"/>
          <w:tab w:val="left" w:pos="1287"/>
        </w:tabs>
        <w:ind w:left="524" w:hanging="523" w:hangingChars="238"/>
        <w:rPr>
          <w:rFonts w:ascii="宋体" w:hAnsi="宋体" w:cs="宋体"/>
          <w:color w:val="auto"/>
          <w:sz w:val="22"/>
          <w:szCs w:val="22"/>
          <w:highlight w:val="none"/>
        </w:rPr>
      </w:pPr>
      <w:r>
        <w:rPr>
          <w:rFonts w:hint="eastAsia" w:ascii="宋体" w:hAnsi="宋体" w:cs="宋体"/>
          <w:color w:val="auto"/>
          <w:sz w:val="22"/>
          <w:szCs w:val="22"/>
          <w:highlight w:val="none"/>
        </w:rPr>
        <w:t xml:space="preserve">14.1 </w:t>
      </w:r>
      <w:r>
        <w:rPr>
          <w:rFonts w:hint="eastAsia" w:ascii="宋体" w:hAnsi="宋体" w:cs="宋体"/>
          <w:b/>
          <w:color w:val="auto"/>
          <w:sz w:val="22"/>
          <w:szCs w:val="22"/>
          <w:highlight w:val="none"/>
          <w:u w:val="single"/>
        </w:rPr>
        <w:t>▲投标有效期见投标人须知前附表，投标文件有效期短于这个规定期限的将被拒绝。</w:t>
      </w:r>
    </w:p>
    <w:p>
      <w:pPr>
        <w:tabs>
          <w:tab w:val="left" w:pos="1080"/>
          <w:tab w:val="left" w:pos="1287"/>
        </w:tabs>
        <w:ind w:left="524" w:hanging="523" w:hangingChars="238"/>
        <w:rPr>
          <w:rFonts w:ascii="宋体" w:hAnsi="宋体" w:cs="宋体"/>
          <w:color w:val="auto"/>
          <w:sz w:val="22"/>
          <w:szCs w:val="22"/>
          <w:highlight w:val="none"/>
        </w:rPr>
      </w:pPr>
      <w:r>
        <w:rPr>
          <w:rFonts w:hint="eastAsia" w:ascii="宋体" w:hAnsi="宋体" w:cs="宋体"/>
          <w:color w:val="auto"/>
          <w:sz w:val="22"/>
          <w:szCs w:val="22"/>
          <w:highlight w:val="none"/>
        </w:rPr>
        <w:t>14.2 在投标人须知前附表规定的投标有效期内，投标人不得要求撤销或修改其投标文件。</w:t>
      </w:r>
    </w:p>
    <w:p>
      <w:pPr>
        <w:tabs>
          <w:tab w:val="left" w:pos="1080"/>
          <w:tab w:val="left" w:pos="1287"/>
        </w:tabs>
        <w:ind w:left="524" w:hanging="523" w:hangingChars="238"/>
        <w:rPr>
          <w:rFonts w:ascii="宋体" w:hAnsi="宋体" w:cs="宋体"/>
          <w:color w:val="auto"/>
          <w:sz w:val="22"/>
          <w:szCs w:val="22"/>
          <w:highlight w:val="none"/>
        </w:rPr>
      </w:pPr>
      <w:r>
        <w:rPr>
          <w:rFonts w:hint="eastAsia" w:ascii="宋体" w:hAnsi="宋体" w:cs="宋体"/>
          <w:color w:val="auto"/>
          <w:sz w:val="22"/>
          <w:szCs w:val="22"/>
          <w:highlight w:val="none"/>
        </w:rPr>
        <w:t>14.3 特殊情况下，在原投标有效期截止前，采购人可与投标人协商延长投标有效期，这种要求和答复均以书面形式进行。投标人可拒绝接受延期要求，而不会导致投标保证金不予退还。同意延长投标有效期的投标人不得修改投标文件。有关退还和不予退还投标保证金的规定在投标有效期的延长期内继续有效。</w:t>
      </w:r>
    </w:p>
    <w:p>
      <w:pPr>
        <w:numPr>
          <w:ilvl w:val="0"/>
          <w:numId w:val="2"/>
        </w:numPr>
        <w:tabs>
          <w:tab w:val="left" w:pos="525"/>
          <w:tab w:val="left" w:pos="900"/>
        </w:tabs>
        <w:ind w:left="525" w:hanging="525"/>
        <w:rPr>
          <w:rFonts w:ascii="宋体" w:hAnsi="宋体" w:cs="宋体"/>
          <w:color w:val="auto"/>
          <w:sz w:val="22"/>
          <w:szCs w:val="22"/>
          <w:highlight w:val="none"/>
        </w:rPr>
      </w:pPr>
      <w:r>
        <w:rPr>
          <w:rFonts w:hint="eastAsia" w:ascii="宋体" w:hAnsi="宋体" w:cs="宋体"/>
          <w:color w:val="auto"/>
          <w:sz w:val="22"/>
          <w:szCs w:val="22"/>
          <w:highlight w:val="none"/>
        </w:rPr>
        <w:t>投标文件的签署和规定</w:t>
      </w:r>
    </w:p>
    <w:p>
      <w:pPr>
        <w:numPr>
          <w:ilvl w:val="1"/>
          <w:numId w:val="5"/>
        </w:numPr>
        <w:tabs>
          <w:tab w:val="left" w:pos="525"/>
          <w:tab w:val="clear" w:pos="992"/>
        </w:tabs>
        <w:ind w:left="525" w:hanging="525"/>
        <w:rPr>
          <w:rFonts w:ascii="宋体" w:hAnsi="宋体" w:cs="宋体"/>
          <w:b/>
          <w:color w:val="auto"/>
          <w:sz w:val="22"/>
          <w:szCs w:val="22"/>
          <w:highlight w:val="none"/>
        </w:rPr>
      </w:pPr>
      <w:r>
        <w:rPr>
          <w:rFonts w:hint="eastAsia" w:ascii="宋体" w:hAnsi="宋体" w:cs="宋体"/>
          <w:b/>
          <w:color w:val="auto"/>
          <w:sz w:val="22"/>
          <w:szCs w:val="22"/>
          <w:highlight w:val="none"/>
        </w:rPr>
        <w:t>投标人应提供技术资信标、商务（报价）标各一式陆份的投标文件，分别装订成册。其中正本壹份、副本伍份，每套投标文件的封面应清楚标明“正本”或“副本”字样，若“正本”与“副本”不符，以“正本”为准。</w:t>
      </w:r>
    </w:p>
    <w:p>
      <w:pPr>
        <w:numPr>
          <w:ilvl w:val="1"/>
          <w:numId w:val="5"/>
        </w:numPr>
        <w:tabs>
          <w:tab w:val="left" w:pos="525"/>
          <w:tab w:val="clear" w:pos="992"/>
        </w:tabs>
        <w:ind w:left="525" w:hanging="525"/>
        <w:rPr>
          <w:rFonts w:ascii="宋体" w:hAnsi="宋体" w:cs="宋体"/>
          <w:color w:val="auto"/>
          <w:sz w:val="22"/>
          <w:szCs w:val="22"/>
          <w:highlight w:val="none"/>
        </w:rPr>
      </w:pPr>
      <w:r>
        <w:rPr>
          <w:rFonts w:hint="eastAsia" w:ascii="宋体" w:hAnsi="宋体" w:cs="宋体"/>
          <w:color w:val="auto"/>
          <w:sz w:val="22"/>
          <w:szCs w:val="22"/>
          <w:highlight w:val="none"/>
        </w:rPr>
        <w:t>投标文件的正本必须打印或用不褪色的墨水书写，并由法定代表人或其授权代表签署，副本可用正本的复印件。</w:t>
      </w:r>
    </w:p>
    <w:p>
      <w:pPr>
        <w:numPr>
          <w:ilvl w:val="1"/>
          <w:numId w:val="5"/>
        </w:numPr>
        <w:tabs>
          <w:tab w:val="left" w:pos="525"/>
          <w:tab w:val="clear" w:pos="992"/>
        </w:tabs>
        <w:ind w:left="525" w:hanging="525"/>
        <w:rPr>
          <w:rFonts w:ascii="宋体" w:hAnsi="宋体" w:cs="宋体"/>
          <w:b/>
          <w:color w:val="auto"/>
          <w:sz w:val="22"/>
          <w:szCs w:val="22"/>
          <w:highlight w:val="none"/>
        </w:rPr>
      </w:pPr>
      <w:r>
        <w:rPr>
          <w:rFonts w:hint="eastAsia" w:ascii="宋体" w:hAnsi="宋体" w:cs="宋体"/>
          <w:b/>
          <w:color w:val="auto"/>
          <w:sz w:val="22"/>
          <w:szCs w:val="22"/>
          <w:highlight w:val="none"/>
        </w:rPr>
        <w:t>投标文件如有修改和增删必须由投标文件签字人在修改和增删处旁签署或盖章，方才有效。</w:t>
      </w:r>
    </w:p>
    <w:p>
      <w:pPr>
        <w:numPr>
          <w:ilvl w:val="1"/>
          <w:numId w:val="5"/>
        </w:numPr>
        <w:tabs>
          <w:tab w:val="left" w:pos="525"/>
          <w:tab w:val="clear" w:pos="992"/>
        </w:tabs>
        <w:ind w:left="525" w:hanging="525"/>
        <w:rPr>
          <w:rFonts w:ascii="宋体" w:hAnsi="宋体" w:cs="宋体"/>
          <w:color w:val="auto"/>
          <w:sz w:val="22"/>
          <w:szCs w:val="22"/>
          <w:highlight w:val="none"/>
        </w:rPr>
      </w:pPr>
      <w:r>
        <w:rPr>
          <w:rFonts w:hint="eastAsia" w:ascii="宋体" w:hAnsi="宋体" w:cs="宋体"/>
          <w:color w:val="auto"/>
          <w:sz w:val="22"/>
          <w:szCs w:val="22"/>
          <w:highlight w:val="none"/>
        </w:rPr>
        <w:t>投标文件字迹模糊或在关键的技术、商务条款上表述不清楚，将可能导致其投标被拒绝。</w:t>
      </w:r>
    </w:p>
    <w:p>
      <w:pPr>
        <w:numPr>
          <w:ilvl w:val="0"/>
          <w:numId w:val="2"/>
        </w:numPr>
        <w:tabs>
          <w:tab w:val="left" w:pos="525"/>
          <w:tab w:val="left" w:pos="900"/>
        </w:tabs>
        <w:ind w:left="525" w:hanging="525"/>
        <w:rPr>
          <w:rFonts w:ascii="宋体" w:hAnsi="宋体" w:cs="宋体"/>
          <w:color w:val="auto"/>
          <w:sz w:val="22"/>
          <w:szCs w:val="22"/>
          <w:highlight w:val="none"/>
        </w:rPr>
      </w:pPr>
      <w:r>
        <w:rPr>
          <w:rFonts w:hint="eastAsia" w:ascii="宋体" w:hAnsi="宋体" w:cs="宋体"/>
          <w:color w:val="auto"/>
          <w:sz w:val="22"/>
          <w:szCs w:val="22"/>
          <w:highlight w:val="none"/>
        </w:rPr>
        <w:t>投标文件的密封及标记</w:t>
      </w:r>
    </w:p>
    <w:p>
      <w:pPr>
        <w:numPr>
          <w:ilvl w:val="1"/>
          <w:numId w:val="6"/>
        </w:numPr>
        <w:tabs>
          <w:tab w:val="left" w:pos="525"/>
          <w:tab w:val="clear" w:pos="992"/>
        </w:tabs>
        <w:ind w:left="525" w:hanging="525"/>
        <w:rPr>
          <w:rFonts w:ascii="宋体" w:hAnsi="宋体" w:cs="宋体"/>
          <w:b/>
          <w:color w:val="auto"/>
          <w:sz w:val="22"/>
          <w:szCs w:val="22"/>
          <w:highlight w:val="none"/>
        </w:rPr>
      </w:pPr>
      <w:r>
        <w:rPr>
          <w:rFonts w:hint="eastAsia" w:ascii="宋体" w:hAnsi="宋体" w:cs="宋体"/>
          <w:b/>
          <w:color w:val="auto"/>
          <w:sz w:val="22"/>
          <w:szCs w:val="22"/>
          <w:highlight w:val="none"/>
        </w:rPr>
        <w:t>投标人必须将投标文件的“技术资信标”、“商务（报价）标”分别单独密封，且在各自的密封袋上标明“技术资信标”、“商务（报价）标”字样。</w:t>
      </w:r>
      <w:r>
        <w:rPr>
          <w:rFonts w:hint="eastAsia" w:ascii="宋体" w:hAnsi="宋体" w:cs="宋体"/>
          <w:color w:val="auto"/>
          <w:sz w:val="22"/>
          <w:szCs w:val="22"/>
          <w:highlight w:val="none"/>
        </w:rPr>
        <w:t>封口处贴上封条，启封处加盖投标单位公章并由法定代表人或其授权代表签字。</w:t>
      </w:r>
      <w:r>
        <w:rPr>
          <w:rFonts w:hint="eastAsia" w:ascii="宋体" w:hAnsi="宋体" w:cs="宋体"/>
          <w:b/>
          <w:color w:val="auto"/>
          <w:sz w:val="22"/>
          <w:szCs w:val="22"/>
          <w:highlight w:val="none"/>
        </w:rPr>
        <w:t>封皮上写明投标项目名称、采购编号，并注明“开标时启封”字样，否则将不予受理。封袋封条由投标人自制。</w:t>
      </w:r>
    </w:p>
    <w:p>
      <w:pPr>
        <w:numPr>
          <w:ilvl w:val="1"/>
          <w:numId w:val="6"/>
        </w:numPr>
        <w:tabs>
          <w:tab w:val="left" w:pos="525"/>
          <w:tab w:val="clear" w:pos="992"/>
        </w:tabs>
        <w:ind w:left="525" w:hanging="525"/>
        <w:rPr>
          <w:rFonts w:ascii="宋体" w:hAnsi="宋体" w:cs="宋体"/>
          <w:color w:val="auto"/>
          <w:sz w:val="22"/>
          <w:szCs w:val="22"/>
          <w:highlight w:val="none"/>
        </w:rPr>
      </w:pPr>
      <w:r>
        <w:rPr>
          <w:rFonts w:hint="eastAsia" w:ascii="宋体" w:hAnsi="宋体" w:cs="宋体"/>
          <w:color w:val="auto"/>
          <w:sz w:val="22"/>
          <w:szCs w:val="22"/>
          <w:highlight w:val="none"/>
        </w:rPr>
        <w:t>如果投标人未按上述要求密封及加写标记，采购人对投标文件的误投和提前启封不负责任。</w:t>
      </w:r>
    </w:p>
    <w:p>
      <w:pPr>
        <w:spacing w:before="120" w:beforeLines="50" w:after="120" w:afterLines="50"/>
        <w:jc w:val="center"/>
        <w:rPr>
          <w:rFonts w:ascii="宋体" w:hAnsi="宋体" w:cs="宋体"/>
          <w:b/>
          <w:color w:val="auto"/>
          <w:sz w:val="28"/>
          <w:szCs w:val="28"/>
          <w:highlight w:val="none"/>
        </w:rPr>
      </w:pPr>
      <w:bookmarkStart w:id="85" w:name="_Toc204578578"/>
      <w:bookmarkStart w:id="86" w:name="_Toc204491320"/>
      <w:bookmarkStart w:id="87" w:name="_Toc227057036"/>
      <w:bookmarkStart w:id="88" w:name="_Toc216667823"/>
      <w:bookmarkStart w:id="89" w:name="_Toc209261435"/>
      <w:bookmarkStart w:id="90" w:name="_Toc223933224"/>
      <w:bookmarkStart w:id="91" w:name="_Toc215415533"/>
      <w:bookmarkStart w:id="92" w:name="_Toc210879711"/>
      <w:bookmarkStart w:id="93" w:name="_Toc205703105"/>
      <w:bookmarkStart w:id="94" w:name="_Toc205877455"/>
      <w:bookmarkStart w:id="95" w:name="_Toc205005289"/>
      <w:bookmarkStart w:id="96" w:name="_Toc227056849"/>
      <w:bookmarkStart w:id="97" w:name="_Toc214365793"/>
      <w:bookmarkStart w:id="98" w:name="_Toc207609184"/>
      <w:bookmarkStart w:id="99" w:name="_Toc209261368"/>
      <w:bookmarkStart w:id="100" w:name="_Toc209250722"/>
      <w:bookmarkStart w:id="101" w:name="_Toc209251130"/>
      <w:bookmarkStart w:id="102" w:name="_Toc209332636"/>
      <w:bookmarkStart w:id="103" w:name="_Toc219538616"/>
      <w:bookmarkStart w:id="104" w:name="_Toc205877560"/>
      <w:bookmarkStart w:id="105" w:name="_Toc227489890"/>
      <w:bookmarkStart w:id="106" w:name="_Toc223717607"/>
      <w:bookmarkStart w:id="107" w:name="_Toc217460688"/>
      <w:bookmarkStart w:id="108" w:name="_Toc218041729"/>
      <w:bookmarkStart w:id="109" w:name="_Toc205004971"/>
      <w:r>
        <w:rPr>
          <w:rFonts w:hint="eastAsia" w:ascii="宋体" w:hAnsi="宋体" w:cs="宋体"/>
          <w:b/>
          <w:color w:val="auto"/>
          <w:sz w:val="28"/>
          <w:szCs w:val="28"/>
          <w:highlight w:val="none"/>
        </w:rPr>
        <w:t>四、 投标文件的递交</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numPr>
          <w:ilvl w:val="0"/>
          <w:numId w:val="2"/>
        </w:numPr>
        <w:tabs>
          <w:tab w:val="left" w:pos="525"/>
          <w:tab w:val="left" w:pos="900"/>
        </w:tabs>
        <w:ind w:left="527" w:hanging="527"/>
        <w:rPr>
          <w:rFonts w:ascii="宋体" w:hAnsi="宋体" w:cs="宋体"/>
          <w:color w:val="auto"/>
          <w:sz w:val="22"/>
          <w:szCs w:val="22"/>
          <w:highlight w:val="none"/>
        </w:rPr>
      </w:pPr>
      <w:r>
        <w:rPr>
          <w:rFonts w:hint="eastAsia" w:ascii="宋体" w:hAnsi="宋体" w:cs="宋体"/>
          <w:color w:val="auto"/>
          <w:sz w:val="22"/>
          <w:szCs w:val="22"/>
          <w:highlight w:val="none"/>
        </w:rPr>
        <w:t>投标文件的递交</w:t>
      </w:r>
    </w:p>
    <w:p>
      <w:pPr>
        <w:numPr>
          <w:ilvl w:val="1"/>
          <w:numId w:val="7"/>
        </w:numPr>
        <w:tabs>
          <w:tab w:val="left" w:pos="525"/>
          <w:tab w:val="clear" w:pos="992"/>
        </w:tabs>
        <w:ind w:left="527" w:hanging="527"/>
        <w:rPr>
          <w:rFonts w:ascii="宋体" w:hAnsi="宋体" w:cs="宋体"/>
          <w:b/>
          <w:color w:val="auto"/>
          <w:sz w:val="22"/>
          <w:szCs w:val="22"/>
          <w:highlight w:val="none"/>
          <w:u w:val="single"/>
        </w:rPr>
      </w:pPr>
      <w:r>
        <w:rPr>
          <w:rFonts w:hint="eastAsia" w:ascii="宋体" w:hAnsi="宋体" w:cs="宋体"/>
          <w:b/>
          <w:bCs/>
          <w:color w:val="auto"/>
          <w:sz w:val="22"/>
          <w:szCs w:val="22"/>
          <w:highlight w:val="none"/>
          <w:u w:val="single"/>
        </w:rPr>
        <w:t>▲</w:t>
      </w:r>
      <w:r>
        <w:rPr>
          <w:rFonts w:hint="eastAsia" w:ascii="宋体" w:hAnsi="宋体" w:cs="宋体"/>
          <w:b/>
          <w:color w:val="auto"/>
          <w:sz w:val="22"/>
          <w:szCs w:val="22"/>
          <w:highlight w:val="none"/>
          <w:u w:val="single"/>
        </w:rPr>
        <w:t>投标文件必须在规定的投标文件递交截止时间前送达到投标文件递交地点；</w:t>
      </w:r>
    </w:p>
    <w:p>
      <w:pPr>
        <w:numPr>
          <w:ilvl w:val="1"/>
          <w:numId w:val="7"/>
        </w:numPr>
        <w:tabs>
          <w:tab w:val="left" w:pos="525"/>
          <w:tab w:val="clear" w:pos="992"/>
        </w:tabs>
        <w:ind w:left="527" w:hanging="527"/>
        <w:rPr>
          <w:rFonts w:ascii="宋体" w:hAnsi="宋体" w:cs="宋体"/>
          <w:b/>
          <w:color w:val="auto"/>
          <w:sz w:val="22"/>
          <w:szCs w:val="22"/>
          <w:highlight w:val="none"/>
        </w:rPr>
      </w:pPr>
      <w:r>
        <w:rPr>
          <w:rFonts w:hint="eastAsia" w:ascii="宋体" w:hAnsi="宋体" w:cs="宋体"/>
          <w:b/>
          <w:bCs/>
          <w:color w:val="auto"/>
          <w:sz w:val="22"/>
          <w:szCs w:val="22"/>
          <w:highlight w:val="none"/>
          <w:u w:val="single"/>
        </w:rPr>
        <w:t>▲</w:t>
      </w:r>
      <w:r>
        <w:rPr>
          <w:rFonts w:hint="eastAsia" w:ascii="宋体" w:hAnsi="宋体" w:cs="宋体"/>
          <w:b/>
          <w:color w:val="auto"/>
          <w:sz w:val="22"/>
          <w:szCs w:val="22"/>
          <w:highlight w:val="none"/>
          <w:u w:val="single"/>
        </w:rPr>
        <w:t>在递交投标文件同时递交以下证明文件，由评标委员会确认投标资格：</w:t>
      </w:r>
    </w:p>
    <w:p>
      <w:pPr>
        <w:numPr>
          <w:ilvl w:val="0"/>
          <w:numId w:val="8"/>
        </w:numPr>
        <w:tabs>
          <w:tab w:val="left" w:pos="525"/>
        </w:tabs>
        <w:ind w:left="947"/>
        <w:rPr>
          <w:rFonts w:ascii="宋体" w:hAnsi="宋体" w:cs="宋体"/>
          <w:b/>
          <w:color w:val="auto"/>
          <w:sz w:val="22"/>
          <w:szCs w:val="22"/>
          <w:highlight w:val="none"/>
        </w:rPr>
      </w:pPr>
      <w:r>
        <w:rPr>
          <w:rFonts w:hint="eastAsia" w:ascii="宋体" w:hAnsi="宋体" w:cs="宋体"/>
          <w:b/>
          <w:color w:val="auto"/>
          <w:sz w:val="22"/>
          <w:szCs w:val="22"/>
          <w:highlight w:val="none"/>
        </w:rPr>
        <w:t>投标保证金缴纳凭证；</w:t>
      </w:r>
    </w:p>
    <w:p>
      <w:pPr>
        <w:numPr>
          <w:ilvl w:val="0"/>
          <w:numId w:val="8"/>
        </w:numPr>
        <w:tabs>
          <w:tab w:val="left" w:pos="525"/>
        </w:tabs>
        <w:ind w:left="947"/>
        <w:rPr>
          <w:rFonts w:ascii="宋体" w:hAnsi="宋体" w:cs="宋体"/>
          <w:b/>
          <w:color w:val="auto"/>
          <w:sz w:val="22"/>
          <w:szCs w:val="22"/>
          <w:highlight w:val="none"/>
        </w:rPr>
      </w:pPr>
      <w:r>
        <w:rPr>
          <w:rFonts w:hint="eastAsia" w:ascii="宋体" w:hAnsi="宋体" w:cs="宋体"/>
          <w:b/>
          <w:color w:val="auto"/>
          <w:sz w:val="22"/>
          <w:szCs w:val="22"/>
          <w:highlight w:val="none"/>
        </w:rPr>
        <w:t>投标人代表有效身份证件（原件）；</w:t>
      </w:r>
    </w:p>
    <w:p>
      <w:pPr>
        <w:numPr>
          <w:ilvl w:val="0"/>
          <w:numId w:val="8"/>
        </w:numPr>
        <w:tabs>
          <w:tab w:val="left" w:pos="525"/>
        </w:tabs>
        <w:ind w:left="847" w:hanging="320"/>
        <w:rPr>
          <w:rFonts w:ascii="宋体" w:hAnsi="宋体" w:cs="宋体"/>
          <w:b/>
          <w:color w:val="auto"/>
          <w:sz w:val="22"/>
          <w:szCs w:val="22"/>
          <w:highlight w:val="none"/>
        </w:rPr>
      </w:pPr>
      <w:r>
        <w:rPr>
          <w:rFonts w:hint="eastAsia" w:ascii="宋体" w:hAnsi="宋体" w:cs="宋体"/>
          <w:b/>
          <w:color w:val="auto"/>
          <w:sz w:val="22"/>
          <w:szCs w:val="22"/>
          <w:highlight w:val="none"/>
        </w:rPr>
        <w:t>企业法人营业执照复印件（加盖公章）</w:t>
      </w:r>
    </w:p>
    <w:p>
      <w:pPr>
        <w:numPr>
          <w:ilvl w:val="0"/>
          <w:numId w:val="8"/>
        </w:numPr>
        <w:tabs>
          <w:tab w:val="left" w:pos="525"/>
        </w:tabs>
        <w:ind w:left="847" w:hanging="320"/>
        <w:rPr>
          <w:rFonts w:ascii="宋体" w:hAnsi="宋体" w:cs="宋体"/>
          <w:b/>
          <w:color w:val="auto"/>
          <w:sz w:val="22"/>
          <w:szCs w:val="22"/>
          <w:highlight w:val="none"/>
        </w:rPr>
      </w:pPr>
      <w:r>
        <w:rPr>
          <w:rFonts w:hint="eastAsia" w:ascii="宋体" w:hAnsi="宋体" w:cs="宋体"/>
          <w:b/>
          <w:color w:val="auto"/>
          <w:sz w:val="22"/>
          <w:szCs w:val="22"/>
          <w:highlight w:val="none"/>
        </w:rPr>
        <w:t>如企业法定代表人委派投标人代表的，需提交法定代表人授权书（原件）</w:t>
      </w:r>
    </w:p>
    <w:p>
      <w:pPr>
        <w:tabs>
          <w:tab w:val="left" w:pos="525"/>
        </w:tabs>
        <w:ind w:left="527"/>
        <w:rPr>
          <w:rFonts w:ascii="宋体" w:hAnsi="宋体" w:cs="宋体"/>
          <w:b/>
          <w:color w:val="auto"/>
          <w:sz w:val="22"/>
          <w:szCs w:val="22"/>
          <w:highlight w:val="none"/>
        </w:rPr>
      </w:pPr>
      <w:r>
        <w:rPr>
          <w:rFonts w:hint="eastAsia" w:ascii="宋体" w:hAnsi="宋体" w:cs="宋体"/>
          <w:b/>
          <w:color w:val="auto"/>
          <w:sz w:val="22"/>
          <w:szCs w:val="22"/>
          <w:highlight w:val="none"/>
        </w:rPr>
        <w:t>（如企业法人营业执照复印件（加盖公章）、法定代表人授权书（原件）密封在投标文件技术资信标中，在技术资信标开启后经评标委员会查验符合要求亦为有效）。</w:t>
      </w:r>
    </w:p>
    <w:p>
      <w:pPr>
        <w:numPr>
          <w:ilvl w:val="0"/>
          <w:numId w:val="2"/>
        </w:numPr>
        <w:tabs>
          <w:tab w:val="left" w:pos="525"/>
          <w:tab w:val="left" w:pos="900"/>
        </w:tabs>
        <w:ind w:left="527" w:hanging="527"/>
        <w:rPr>
          <w:rFonts w:ascii="宋体" w:hAnsi="宋体" w:cs="宋体"/>
          <w:color w:val="auto"/>
          <w:sz w:val="22"/>
          <w:szCs w:val="22"/>
          <w:highlight w:val="none"/>
        </w:rPr>
      </w:pPr>
      <w:r>
        <w:rPr>
          <w:rFonts w:hint="eastAsia" w:ascii="宋体" w:hAnsi="宋体" w:cs="宋体"/>
          <w:color w:val="auto"/>
          <w:sz w:val="22"/>
          <w:szCs w:val="22"/>
          <w:highlight w:val="none"/>
        </w:rPr>
        <w:t>投标文件的修改和撤回</w:t>
      </w:r>
    </w:p>
    <w:p>
      <w:pPr>
        <w:numPr>
          <w:ilvl w:val="1"/>
          <w:numId w:val="9"/>
        </w:numPr>
        <w:tabs>
          <w:tab w:val="left" w:pos="525"/>
          <w:tab w:val="clear" w:pos="992"/>
        </w:tabs>
        <w:ind w:left="527" w:hanging="527"/>
        <w:rPr>
          <w:rFonts w:ascii="宋体" w:hAnsi="宋体" w:cs="宋体"/>
          <w:bCs/>
          <w:color w:val="auto"/>
          <w:sz w:val="22"/>
          <w:szCs w:val="22"/>
          <w:highlight w:val="none"/>
        </w:rPr>
      </w:pPr>
      <w:r>
        <w:rPr>
          <w:rFonts w:hint="eastAsia" w:ascii="宋体" w:hAnsi="宋体" w:cs="宋体"/>
          <w:bCs/>
          <w:color w:val="auto"/>
          <w:sz w:val="22"/>
          <w:szCs w:val="22"/>
          <w:highlight w:val="none"/>
        </w:rPr>
        <w:t>在投标文件递交截止时间前，投标人可以用书面形式提出修改或撤回其投标并送达到采购人，但不得影响开标活动的正常进行。</w:t>
      </w:r>
    </w:p>
    <w:p>
      <w:pPr>
        <w:numPr>
          <w:ilvl w:val="1"/>
          <w:numId w:val="9"/>
        </w:numPr>
        <w:tabs>
          <w:tab w:val="left" w:pos="525"/>
          <w:tab w:val="clear" w:pos="992"/>
        </w:tabs>
        <w:ind w:left="527" w:hanging="527"/>
        <w:rPr>
          <w:rFonts w:ascii="宋体" w:hAnsi="宋体" w:cs="宋体"/>
          <w:bCs/>
          <w:color w:val="auto"/>
          <w:sz w:val="22"/>
          <w:szCs w:val="22"/>
          <w:highlight w:val="none"/>
        </w:rPr>
      </w:pPr>
      <w:r>
        <w:rPr>
          <w:rFonts w:hint="eastAsia" w:ascii="宋体" w:hAnsi="宋体" w:cs="宋体"/>
          <w:bCs/>
          <w:color w:val="auto"/>
          <w:sz w:val="22"/>
          <w:szCs w:val="22"/>
          <w:highlight w:val="none"/>
        </w:rPr>
        <w:t>“投标文件修改”或“投标文件撤回通知”都应密封并在密封袋上写明投标项目名称、编号、投标单位名称，并注明“投标文件修改”或“投标文件撤回通知”字样。</w:t>
      </w:r>
    </w:p>
    <w:p>
      <w:pPr>
        <w:numPr>
          <w:ilvl w:val="1"/>
          <w:numId w:val="9"/>
        </w:numPr>
        <w:tabs>
          <w:tab w:val="left" w:pos="525"/>
          <w:tab w:val="clear" w:pos="992"/>
        </w:tabs>
        <w:ind w:left="527" w:hanging="527"/>
        <w:rPr>
          <w:rFonts w:ascii="宋体" w:hAnsi="宋体" w:cs="宋体"/>
          <w:bCs/>
          <w:color w:val="auto"/>
          <w:sz w:val="22"/>
          <w:szCs w:val="22"/>
          <w:highlight w:val="none"/>
        </w:rPr>
      </w:pPr>
      <w:r>
        <w:rPr>
          <w:rFonts w:hint="eastAsia" w:ascii="宋体" w:hAnsi="宋体" w:cs="宋体"/>
          <w:bCs/>
          <w:color w:val="auto"/>
          <w:sz w:val="22"/>
          <w:szCs w:val="22"/>
          <w:highlight w:val="none"/>
        </w:rPr>
        <w:t>从投标文件递交截止时间起至投标有效期满这段时间内，投标人不得撤回其投标，否则投标保证金将被不予退还。</w:t>
      </w:r>
    </w:p>
    <w:p>
      <w:pPr>
        <w:numPr>
          <w:ilvl w:val="0"/>
          <w:numId w:val="2"/>
        </w:numPr>
        <w:tabs>
          <w:tab w:val="left" w:pos="525"/>
          <w:tab w:val="left" w:pos="900"/>
        </w:tabs>
        <w:ind w:left="527" w:hanging="527"/>
        <w:rPr>
          <w:rFonts w:ascii="宋体" w:hAnsi="宋体" w:cs="宋体"/>
          <w:b/>
          <w:color w:val="auto"/>
          <w:sz w:val="22"/>
          <w:szCs w:val="22"/>
          <w:highlight w:val="none"/>
          <w:u w:val="single"/>
        </w:rPr>
      </w:pPr>
      <w:r>
        <w:rPr>
          <w:rFonts w:hint="eastAsia" w:ascii="宋体" w:hAnsi="宋体" w:cs="宋体"/>
          <w:b/>
          <w:color w:val="auto"/>
          <w:sz w:val="22"/>
          <w:szCs w:val="22"/>
          <w:highlight w:val="none"/>
          <w:u w:val="single"/>
        </w:rPr>
        <w:t>▲发生下列情况之一的投标文件将拒收：</w:t>
      </w:r>
    </w:p>
    <w:p>
      <w:pPr>
        <w:numPr>
          <w:ilvl w:val="1"/>
          <w:numId w:val="10"/>
        </w:numPr>
        <w:tabs>
          <w:tab w:val="left" w:pos="525"/>
          <w:tab w:val="clear" w:pos="992"/>
        </w:tabs>
        <w:ind w:left="527" w:hanging="527"/>
        <w:rPr>
          <w:rFonts w:ascii="宋体" w:hAnsi="宋体" w:cs="宋体"/>
          <w:bCs/>
          <w:color w:val="auto"/>
          <w:sz w:val="22"/>
          <w:szCs w:val="22"/>
          <w:highlight w:val="none"/>
          <w:u w:val="single"/>
        </w:rPr>
      </w:pPr>
      <w:r>
        <w:rPr>
          <w:rFonts w:hint="eastAsia" w:ascii="宋体" w:hAnsi="宋体" w:cs="宋体"/>
          <w:bCs/>
          <w:color w:val="auto"/>
          <w:sz w:val="22"/>
          <w:szCs w:val="22"/>
          <w:highlight w:val="none"/>
          <w:u w:val="single"/>
        </w:rPr>
        <w:t>在投标文件递交截止时间以后送达的投标文件；</w:t>
      </w:r>
    </w:p>
    <w:p>
      <w:pPr>
        <w:numPr>
          <w:ilvl w:val="1"/>
          <w:numId w:val="10"/>
        </w:numPr>
        <w:tabs>
          <w:tab w:val="left" w:pos="525"/>
          <w:tab w:val="clear" w:pos="992"/>
        </w:tabs>
        <w:ind w:left="527" w:hanging="527"/>
        <w:rPr>
          <w:rFonts w:ascii="宋体" w:hAnsi="宋体" w:cs="宋体"/>
          <w:bCs/>
          <w:color w:val="auto"/>
          <w:sz w:val="22"/>
          <w:szCs w:val="22"/>
          <w:highlight w:val="none"/>
          <w:u w:val="single"/>
        </w:rPr>
      </w:pPr>
      <w:r>
        <w:rPr>
          <w:rFonts w:hint="eastAsia" w:ascii="宋体" w:hAnsi="宋体" w:cs="宋体"/>
          <w:bCs/>
          <w:color w:val="auto"/>
          <w:sz w:val="22"/>
          <w:szCs w:val="22"/>
          <w:highlight w:val="none"/>
          <w:u w:val="single"/>
        </w:rPr>
        <w:t>未购买采购文件；</w:t>
      </w:r>
    </w:p>
    <w:p>
      <w:pPr>
        <w:numPr>
          <w:ilvl w:val="1"/>
          <w:numId w:val="10"/>
        </w:numPr>
        <w:tabs>
          <w:tab w:val="left" w:pos="525"/>
          <w:tab w:val="clear" w:pos="992"/>
        </w:tabs>
        <w:ind w:left="527" w:hanging="527"/>
        <w:rPr>
          <w:rFonts w:ascii="宋体" w:hAnsi="宋体" w:cs="宋体"/>
          <w:bCs/>
          <w:color w:val="auto"/>
          <w:sz w:val="22"/>
          <w:szCs w:val="22"/>
          <w:highlight w:val="none"/>
          <w:u w:val="single"/>
        </w:rPr>
      </w:pPr>
      <w:r>
        <w:rPr>
          <w:rFonts w:hint="eastAsia" w:ascii="宋体" w:hAnsi="宋体" w:cs="宋体"/>
          <w:bCs/>
          <w:color w:val="auto"/>
          <w:sz w:val="22"/>
          <w:szCs w:val="22"/>
          <w:highlight w:val="none"/>
          <w:u w:val="single"/>
        </w:rPr>
        <w:t>未密封或未装订的投标文件及由于包装不妥在送达途中严重破损或失散的投标文件；</w:t>
      </w:r>
    </w:p>
    <w:p>
      <w:pPr>
        <w:numPr>
          <w:ilvl w:val="1"/>
          <w:numId w:val="10"/>
        </w:numPr>
        <w:tabs>
          <w:tab w:val="left" w:pos="525"/>
          <w:tab w:val="clear" w:pos="992"/>
        </w:tabs>
        <w:ind w:left="527" w:hanging="527"/>
        <w:rPr>
          <w:rFonts w:ascii="宋体" w:hAnsi="宋体" w:cs="宋体"/>
          <w:bCs/>
          <w:color w:val="auto"/>
          <w:sz w:val="22"/>
          <w:szCs w:val="22"/>
          <w:highlight w:val="none"/>
        </w:rPr>
      </w:pPr>
      <w:r>
        <w:rPr>
          <w:rFonts w:hint="eastAsia" w:ascii="宋体" w:hAnsi="宋体" w:cs="宋体"/>
          <w:bCs/>
          <w:color w:val="auto"/>
          <w:sz w:val="22"/>
          <w:szCs w:val="22"/>
          <w:highlight w:val="none"/>
          <w:u w:val="single"/>
        </w:rPr>
        <w:t>以电讯形式递交的投标文件</w:t>
      </w:r>
      <w:r>
        <w:rPr>
          <w:rFonts w:hint="eastAsia" w:ascii="宋体" w:hAnsi="宋体" w:cs="宋体"/>
          <w:bCs/>
          <w:color w:val="auto"/>
          <w:sz w:val="22"/>
          <w:szCs w:val="22"/>
          <w:highlight w:val="none"/>
        </w:rPr>
        <w:t>。</w:t>
      </w:r>
    </w:p>
    <w:p>
      <w:pPr>
        <w:spacing w:before="120" w:beforeLines="50" w:after="120" w:afterLines="50"/>
        <w:jc w:val="center"/>
        <w:rPr>
          <w:rFonts w:ascii="宋体" w:hAnsi="宋体" w:cs="宋体"/>
          <w:b/>
          <w:color w:val="auto"/>
          <w:sz w:val="28"/>
          <w:szCs w:val="28"/>
          <w:highlight w:val="none"/>
        </w:rPr>
      </w:pPr>
      <w:bookmarkStart w:id="110" w:name="_Toc209250723"/>
      <w:bookmarkStart w:id="111" w:name="_Toc209261436"/>
      <w:bookmarkStart w:id="112" w:name="_Toc215415534"/>
      <w:bookmarkStart w:id="113" w:name="_Toc205877456"/>
      <w:bookmarkStart w:id="114" w:name="_Toc207609185"/>
      <w:bookmarkStart w:id="115" w:name="_Toc227057037"/>
      <w:bookmarkStart w:id="116" w:name="_Toc216667824"/>
      <w:bookmarkStart w:id="117" w:name="_Toc223933225"/>
      <w:bookmarkStart w:id="118" w:name="_Toc204578579"/>
      <w:bookmarkStart w:id="119" w:name="_Toc214365794"/>
      <w:bookmarkStart w:id="120" w:name="_Toc209332637"/>
      <w:bookmarkStart w:id="121" w:name="_Toc205703106"/>
      <w:bookmarkStart w:id="122" w:name="_Toc227056850"/>
      <w:bookmarkStart w:id="123" w:name="_Toc227489891"/>
      <w:bookmarkStart w:id="124" w:name="_Toc217460689"/>
      <w:bookmarkStart w:id="125" w:name="_Toc209261369"/>
      <w:bookmarkStart w:id="126" w:name="_Toc210879712"/>
      <w:bookmarkStart w:id="127" w:name="_Toc209251131"/>
      <w:bookmarkStart w:id="128" w:name="_Toc205005290"/>
      <w:bookmarkStart w:id="129" w:name="_Toc218041730"/>
      <w:bookmarkStart w:id="130" w:name="_Toc204491321"/>
      <w:bookmarkStart w:id="131" w:name="_Toc219538617"/>
      <w:bookmarkStart w:id="132" w:name="_Toc205004972"/>
      <w:bookmarkStart w:id="133" w:name="_Toc223717608"/>
      <w:bookmarkStart w:id="134" w:name="_Toc205877561"/>
      <w:r>
        <w:rPr>
          <w:rFonts w:hint="eastAsia" w:ascii="宋体" w:hAnsi="宋体" w:cs="宋体"/>
          <w:b/>
          <w:color w:val="auto"/>
          <w:sz w:val="28"/>
          <w:szCs w:val="28"/>
          <w:highlight w:val="none"/>
        </w:rPr>
        <w:t>五、 开标和评审</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tabs>
          <w:tab w:val="left" w:pos="540"/>
        </w:tabs>
        <w:rPr>
          <w:rFonts w:ascii="新宋体" w:hAnsi="新宋体" w:eastAsia="新宋体" w:cs="新宋体"/>
          <w:bCs/>
          <w:color w:val="auto"/>
          <w:sz w:val="22"/>
          <w:szCs w:val="22"/>
          <w:highlight w:val="none"/>
        </w:rPr>
      </w:pPr>
      <w:bookmarkStart w:id="135" w:name="_Toc209261437"/>
      <w:bookmarkStart w:id="136" w:name="_Toc217460690"/>
      <w:bookmarkStart w:id="137" w:name="_Toc214365795"/>
      <w:bookmarkStart w:id="138" w:name="_Toc218041731"/>
      <w:bookmarkStart w:id="139" w:name="_Toc205877457"/>
      <w:bookmarkStart w:id="140" w:name="_Toc209251132"/>
      <w:bookmarkStart w:id="141" w:name="_Toc227489892"/>
      <w:bookmarkStart w:id="142" w:name="_Toc227056851"/>
      <w:bookmarkStart w:id="143" w:name="_Toc209250724"/>
      <w:bookmarkStart w:id="144" w:name="_Toc209261370"/>
      <w:bookmarkStart w:id="145" w:name="_Toc205877562"/>
      <w:bookmarkStart w:id="146" w:name="_Toc205005291"/>
      <w:bookmarkStart w:id="147" w:name="_Toc207609186"/>
      <w:bookmarkStart w:id="148" w:name="_Toc223933226"/>
      <w:bookmarkStart w:id="149" w:name="_Toc204578580"/>
      <w:bookmarkStart w:id="150" w:name="_Toc216667825"/>
      <w:bookmarkStart w:id="151" w:name="_Toc205703107"/>
      <w:bookmarkStart w:id="152" w:name="_Toc227057038"/>
      <w:bookmarkStart w:id="153" w:name="_Toc209332638"/>
      <w:bookmarkStart w:id="154" w:name="_Toc205004973"/>
      <w:bookmarkStart w:id="155" w:name="_Toc215415535"/>
      <w:bookmarkStart w:id="156" w:name="_Toc223717609"/>
      <w:bookmarkStart w:id="157" w:name="_Toc219538618"/>
      <w:bookmarkStart w:id="158" w:name="_Toc204491322"/>
      <w:bookmarkStart w:id="159" w:name="_Toc210879713"/>
      <w:r>
        <w:rPr>
          <w:rFonts w:hint="eastAsia" w:ascii="新宋体" w:hAnsi="新宋体" w:eastAsia="新宋体" w:cs="新宋体"/>
          <w:bCs/>
          <w:color w:val="auto"/>
          <w:sz w:val="22"/>
          <w:szCs w:val="22"/>
          <w:highlight w:val="none"/>
        </w:rPr>
        <w:t>20.  评标委员会</w:t>
      </w:r>
    </w:p>
    <w:p>
      <w:pPr>
        <w:ind w:left="525" w:leftChars="25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评标委员会成员由采购人代表和有关技术、经济等方面的专家组成，成员人数为5人及以上单数，其中技术、经济类专家不得少于总人数的2/3，除采购人代表外的专家将在浙江省政府采购网的评标专家库中随机抽取产生。评标委员会的成员在评标过程中必须严格遵守《温州市市属国有企业采购管理办法（试行）》及有关法律、法规的规定</w:t>
      </w:r>
      <w:r>
        <w:rPr>
          <w:rFonts w:hint="eastAsia" w:ascii="新宋体" w:hAnsi="新宋体" w:eastAsia="新宋体" w:cs="新宋体"/>
          <w:bCs/>
          <w:color w:val="auto"/>
          <w:sz w:val="22"/>
          <w:szCs w:val="22"/>
          <w:highlight w:val="none"/>
        </w:rPr>
        <w:t>。</w:t>
      </w:r>
    </w:p>
    <w:p>
      <w:pPr>
        <w:tabs>
          <w:tab w:val="left" w:pos="540"/>
        </w:tabs>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21.  评标过程的保密性</w:t>
      </w:r>
    </w:p>
    <w:p>
      <w:pPr>
        <w:ind w:left="525" w:leftChars="25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开标后直至向中标人授予合同时止，凡与评审有关的资料均不得向投标人及与评标无关人员透露。如果投标人在评标过程中试图向采购人和采购代理机构施加影响，其投标将被拒绝。</w:t>
      </w:r>
    </w:p>
    <w:p>
      <w:pPr>
        <w:numPr>
          <w:ilvl w:val="0"/>
          <w:numId w:val="11"/>
        </w:numPr>
        <w:tabs>
          <w:tab w:val="left" w:pos="540"/>
        </w:tabs>
        <w:rPr>
          <w:rFonts w:ascii="新宋体" w:hAnsi="新宋体" w:eastAsia="新宋体" w:cs="新宋体"/>
          <w:b/>
          <w:bCs/>
          <w:color w:val="auto"/>
          <w:sz w:val="22"/>
          <w:szCs w:val="22"/>
          <w:highlight w:val="none"/>
        </w:rPr>
      </w:pPr>
      <w:r>
        <w:rPr>
          <w:rFonts w:hint="eastAsia" w:ascii="新宋体" w:hAnsi="新宋体" w:eastAsia="新宋体" w:cs="新宋体"/>
          <w:bCs/>
          <w:color w:val="auto"/>
          <w:sz w:val="22"/>
          <w:szCs w:val="22"/>
          <w:highlight w:val="none"/>
        </w:rPr>
        <w:t xml:space="preserve"> 开标、评标</w:t>
      </w:r>
    </w:p>
    <w:p>
      <w:pPr>
        <w:ind w:left="550" w:hanging="550" w:hangingChars="25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22.1 采购人按采购文件规定的时间、地点开启投标文件。开标前，首先检查投标文件的密封情况，确认无误后开启投标文件。</w:t>
      </w:r>
    </w:p>
    <w:p>
      <w:pPr>
        <w:ind w:left="576" w:leftChars="117" w:hanging="330" w:hangingChars="15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1）开标时邀请所有投标人代表参加，参加开标的代表应准时出席并签名报到以证明其出席。投标人代表未参加开标会的，事后不得对开标过程和开标结果提出异议。</w:t>
      </w:r>
    </w:p>
    <w:p>
      <w:pPr>
        <w:ind w:left="576" w:leftChars="117" w:hanging="330" w:hangingChars="150"/>
        <w:rPr>
          <w:rFonts w:ascii="新宋体" w:hAnsi="新宋体" w:eastAsia="新宋体" w:cs="新宋体"/>
          <w:color w:val="auto"/>
          <w:kern w:val="0"/>
          <w:sz w:val="22"/>
          <w:szCs w:val="22"/>
          <w:highlight w:val="none"/>
        </w:rPr>
      </w:pPr>
      <w:r>
        <w:rPr>
          <w:rFonts w:hint="eastAsia" w:ascii="新宋体" w:hAnsi="新宋体" w:eastAsia="新宋体" w:cs="新宋体"/>
          <w:bCs/>
          <w:color w:val="auto"/>
          <w:sz w:val="22"/>
          <w:szCs w:val="22"/>
          <w:highlight w:val="none"/>
        </w:rPr>
        <w:t>2）开标时，应当由投标人推选的代表检查投标文件的密封情况；经确认无误后，由采购代理机构工作人员当众拆封，宣布投标人名称、投标价格和采购文件规定的需要宣布的其他内容。采购代理机构指定专人作好记录，存档备查。</w:t>
      </w:r>
      <w:r>
        <w:rPr>
          <w:rFonts w:hint="eastAsia" w:ascii="新宋体" w:hAnsi="新宋体" w:eastAsia="新宋体" w:cs="新宋体"/>
          <w:color w:val="auto"/>
          <w:kern w:val="0"/>
          <w:sz w:val="22"/>
          <w:szCs w:val="22"/>
          <w:highlight w:val="none"/>
        </w:rPr>
        <w:t>投标人代表应对宣读内容及记录结果当场进行校核和签字确认，如有异议应当场提出，否则视为默许同意。</w:t>
      </w:r>
    </w:p>
    <w:p>
      <w:pPr>
        <w:ind w:left="565" w:leftChars="112" w:hanging="330" w:hangingChars="150"/>
        <w:rPr>
          <w:rFonts w:ascii="新宋体" w:hAnsi="新宋体" w:eastAsia="新宋体" w:cs="新宋体"/>
          <w:color w:val="auto"/>
          <w:kern w:val="0"/>
          <w:sz w:val="22"/>
          <w:szCs w:val="22"/>
          <w:highlight w:val="none"/>
        </w:rPr>
      </w:pPr>
      <w:r>
        <w:rPr>
          <w:rFonts w:hint="eastAsia" w:ascii="新宋体" w:hAnsi="新宋体" w:eastAsia="新宋体" w:cs="新宋体"/>
          <w:bCs/>
          <w:color w:val="auto"/>
          <w:sz w:val="22"/>
          <w:szCs w:val="22"/>
          <w:highlight w:val="none"/>
        </w:rPr>
        <w:t>3）开标结束后，采购人或采购代理机构依法对投标人的资格进行审查。</w:t>
      </w:r>
      <w:r>
        <w:rPr>
          <w:rFonts w:hint="eastAsia" w:ascii="新宋体" w:hAnsi="新宋体" w:eastAsia="新宋体" w:cs="新宋体"/>
          <w:color w:val="auto"/>
          <w:kern w:val="0"/>
          <w:sz w:val="22"/>
          <w:szCs w:val="22"/>
          <w:highlight w:val="none"/>
        </w:rPr>
        <w:t>审查内容包括但不仅限于随投标文件一同提交的法定代表人授权书（原件）、投标人代表有效身份证件（原件）、企业法人营业执照复印件（加盖公章）、投标保证金缴纳凭证，以及投标文件所提交证明材料是否能证明符合本项目对合格投标人的实质性要求。通过资格审查视作具备投标资格，审查不合格的投标文件将不进入后续详细评审。</w:t>
      </w:r>
    </w:p>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22.2 投标文件的初审（符合性检查）。</w:t>
      </w:r>
    </w:p>
    <w:p>
      <w:pPr>
        <w:ind w:left="525" w:leftChars="25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评标委员会依据采购文件的规定，从投标文件中的有效性、完整性和对采购文件的响应程度进行审查，以确定是否对采购文件的实质性要求作出响应。</w:t>
      </w:r>
    </w:p>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22.3 ▲</w:t>
      </w:r>
      <w:r>
        <w:rPr>
          <w:rFonts w:hint="eastAsia" w:ascii="新宋体" w:hAnsi="新宋体" w:eastAsia="新宋体" w:cs="新宋体"/>
          <w:b/>
          <w:bCs/>
          <w:color w:val="auto"/>
          <w:kern w:val="0"/>
          <w:sz w:val="22"/>
          <w:szCs w:val="22"/>
          <w:highlight w:val="none"/>
          <w:u w:val="single"/>
        </w:rPr>
        <w:t>投标人存在下列情况之一的，投标无效</w:t>
      </w:r>
      <w:r>
        <w:rPr>
          <w:rFonts w:hint="eastAsia" w:ascii="新宋体" w:hAnsi="新宋体" w:eastAsia="新宋体" w:cs="新宋体"/>
          <w:color w:val="auto"/>
          <w:kern w:val="0"/>
          <w:sz w:val="22"/>
          <w:szCs w:val="22"/>
          <w:highlight w:val="none"/>
        </w:rPr>
        <w:t>:</w:t>
      </w:r>
    </w:p>
    <w:p>
      <w:pPr>
        <w:ind w:firstLine="220" w:firstLineChars="10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1）未按照采购文件的规定提交投标保证金的；</w:t>
      </w:r>
    </w:p>
    <w:p>
      <w:pPr>
        <w:ind w:firstLine="220" w:firstLineChars="10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2）投标文件正本未按采购文件要求签署、盖章的；</w:t>
      </w:r>
    </w:p>
    <w:p>
      <w:pPr>
        <w:ind w:firstLine="220" w:firstLineChars="10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3）不具备采购文件中规定的资格要求的；</w:t>
      </w:r>
    </w:p>
    <w:p>
      <w:pPr>
        <w:ind w:firstLine="220" w:firstLineChars="10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4）报价超过采购文件中规定的采购预算的；</w:t>
      </w:r>
    </w:p>
    <w:p>
      <w:pPr>
        <w:ind w:left="576" w:leftChars="117" w:hanging="330" w:hangingChars="15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5）投标文件含有采购人不能接受的附加条件的（包括采购文件中明确要求不得偏离的采购要求，存在负偏离的）；</w:t>
      </w:r>
    </w:p>
    <w:p>
      <w:pPr>
        <w:ind w:firstLine="220" w:firstLineChars="10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6）投标人递交两份或两份以上内容不同的投标文件，未声明哪一份有效的；</w:t>
      </w:r>
    </w:p>
    <w:p>
      <w:pPr>
        <w:ind w:left="576" w:leftChars="117" w:hanging="330" w:hangingChars="15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7）对关键条文的偏离、保留或反对，例如关于投标保证金、付款方式、服务期、免费质保期、适用法律法规、标准、税费等其他内容；</w:t>
      </w:r>
    </w:p>
    <w:p>
      <w:pPr>
        <w:ind w:firstLine="220" w:firstLineChars="10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8）存在串标、抬标或弄虚作假情况的；</w:t>
      </w:r>
    </w:p>
    <w:p>
      <w:pPr>
        <w:ind w:firstLine="220" w:firstLineChars="10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9）法律、法规和采购文件规定的其他无效情形（或出现重大偏差）。</w:t>
      </w:r>
    </w:p>
    <w:p>
      <w:pPr>
        <w:ind w:left="550" w:hanging="550" w:hangingChars="25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22.4 ▲</w:t>
      </w:r>
      <w:r>
        <w:rPr>
          <w:rFonts w:hint="eastAsia" w:ascii="新宋体" w:hAnsi="新宋体" w:eastAsia="新宋体" w:cs="新宋体"/>
          <w:b/>
          <w:bCs/>
          <w:color w:val="auto"/>
          <w:kern w:val="0"/>
          <w:sz w:val="22"/>
          <w:szCs w:val="22"/>
          <w:highlight w:val="none"/>
          <w:u w:val="single"/>
        </w:rPr>
        <w:t>评标委员会发现投标文件有下列情形之一的属于重大偏差(评标委员会按少数服从多数原则认定),按照无效投标处理</w:t>
      </w:r>
      <w:r>
        <w:rPr>
          <w:rFonts w:hint="eastAsia" w:ascii="新宋体" w:hAnsi="新宋体" w:eastAsia="新宋体" w:cs="新宋体"/>
          <w:color w:val="auto"/>
          <w:kern w:val="0"/>
          <w:sz w:val="22"/>
          <w:szCs w:val="22"/>
          <w:highlight w:val="none"/>
        </w:rPr>
        <w:t>：</w:t>
      </w:r>
    </w:p>
    <w:p>
      <w:pPr>
        <w:ind w:firstLine="220" w:firstLineChars="10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1）未按采购文件要求编制或字迹模糊、辨认不清的投标文件；</w:t>
      </w:r>
    </w:p>
    <w:p>
      <w:pPr>
        <w:ind w:left="576" w:leftChars="117" w:hanging="330" w:hangingChars="15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2）除22.3条款以外，出现其它明显不符合技术规格、技术标准的要求或不满足采购文件技术规格书中的主要参数的投标文件；</w:t>
      </w:r>
    </w:p>
    <w:p>
      <w:pPr>
        <w:ind w:left="576" w:leftChars="117" w:hanging="330" w:hangingChars="15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3）除22.3条款以外，出现投标项目数量与采购文件对比出现较大偏差；商务报价明细表计算错误，出现较大差错；</w:t>
      </w:r>
    </w:p>
    <w:p>
      <w:pPr>
        <w:ind w:left="576" w:leftChars="117" w:hanging="330" w:hangingChars="15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4）除22.3条款以外，出现其它不符合采购文件中规定的实质性要求的投标文件，是否为偏离实质性要求由评标委员会认定。</w:t>
      </w:r>
    </w:p>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22.5 </w:t>
      </w:r>
      <w:r>
        <w:rPr>
          <w:rFonts w:hint="eastAsia" w:ascii="新宋体" w:hAnsi="新宋体" w:eastAsia="新宋体" w:cs="新宋体"/>
          <w:b/>
          <w:bCs/>
          <w:color w:val="auto"/>
          <w:kern w:val="0"/>
          <w:sz w:val="22"/>
          <w:szCs w:val="22"/>
          <w:highlight w:val="none"/>
          <w:u w:val="single"/>
        </w:rPr>
        <w:t>有下列情形之一的，视为投标人串通投标，其投标无效</w:t>
      </w:r>
      <w:r>
        <w:rPr>
          <w:rFonts w:hint="eastAsia" w:ascii="新宋体" w:hAnsi="新宋体" w:eastAsia="新宋体" w:cs="新宋体"/>
          <w:color w:val="auto"/>
          <w:kern w:val="0"/>
          <w:sz w:val="22"/>
          <w:szCs w:val="22"/>
          <w:highlight w:val="none"/>
        </w:rPr>
        <w:t>：</w:t>
      </w:r>
    </w:p>
    <w:p>
      <w:pPr>
        <w:numPr>
          <w:ilvl w:val="0"/>
          <w:numId w:val="12"/>
        </w:numPr>
        <w:ind w:firstLine="220" w:firstLineChars="10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不同投标人的投标文件由同一单位或者个人编制；</w:t>
      </w:r>
    </w:p>
    <w:p>
      <w:pPr>
        <w:ind w:firstLine="220" w:firstLineChars="10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 不同投标人委托同一单位或者个人办理投标事宜；</w:t>
      </w:r>
    </w:p>
    <w:p>
      <w:pPr>
        <w:ind w:firstLine="220" w:firstLineChars="10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 不同投标人的投标文件载明的项目管理成员或者联系人员为同一人；</w:t>
      </w:r>
    </w:p>
    <w:p>
      <w:pPr>
        <w:ind w:firstLine="220" w:firstLineChars="10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4）不同投标人的投标文件异常一致或者投标报价呈规律性差异；</w:t>
      </w:r>
    </w:p>
    <w:p>
      <w:pPr>
        <w:ind w:firstLine="220" w:firstLineChars="10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5）不同投标人的投标文件相互混装；</w:t>
      </w:r>
    </w:p>
    <w:p>
      <w:pPr>
        <w:ind w:firstLine="220" w:firstLineChars="10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6）不同投标人的投标保证金从同一单位或者个人的账户转出。</w:t>
      </w:r>
    </w:p>
    <w:p>
      <w:pPr>
        <w:ind w:left="550" w:hanging="550" w:hangingChars="25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22.6 评标委员会对各投标人的商务报价进行核查时，若发现投标报价内容不清楚可要求投标人书面澄清，计算上的错误，可按下面方法修正：</w:t>
      </w:r>
    </w:p>
    <w:p>
      <w:pPr>
        <w:ind w:left="576" w:leftChars="117" w:hanging="330" w:hangingChars="15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投标文件的大写金额与小写金额不一致时以大写金额为准。大写金额有明显文字表述错误而造成歧义的，则以小写金额为准。总价金额与按单价汇总金额不一致的，以单价金额计算结果为准，单价金额小数点有明显错位的，应以总价为准，并修正单价。</w:t>
      </w:r>
    </w:p>
    <w:p>
      <w:pPr>
        <w:ind w:firstLine="221" w:firstLineChars="100"/>
        <w:rPr>
          <w:rFonts w:ascii="新宋体" w:hAnsi="新宋体" w:eastAsia="新宋体" w:cs="新宋体"/>
          <w:color w:val="auto"/>
          <w:kern w:val="0"/>
          <w:sz w:val="22"/>
          <w:szCs w:val="22"/>
          <w:highlight w:val="none"/>
        </w:rPr>
      </w:pPr>
      <w:r>
        <w:rPr>
          <w:rFonts w:hint="eastAsia" w:ascii="新宋体" w:hAnsi="新宋体" w:eastAsia="新宋体" w:cs="新宋体"/>
          <w:b/>
          <w:bCs/>
          <w:color w:val="auto"/>
          <w:kern w:val="0"/>
          <w:sz w:val="22"/>
          <w:szCs w:val="22"/>
          <w:highlight w:val="none"/>
        </w:rPr>
        <w:t>2）如果投标人不接受对其价格错误进行修正，其投标将被否决。</w:t>
      </w:r>
    </w:p>
    <w:p>
      <w:pPr>
        <w:ind w:left="550" w:hanging="550" w:hangingChars="25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22.7 在详细评标之前，评标委员会要审查每份投标文件是否实质上响应了采购文件的要求。实质上响应的投标应该是与采购文件要求的全部条款、条件和规格基本相符。没有重大偏离。评标委员会决定投标的响应性只根据投标文件本身的内容，而不寻求外部的证据。</w:t>
      </w:r>
    </w:p>
    <w:p>
      <w:pPr>
        <w:ind w:left="550" w:hanging="550" w:hangingChars="25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22.8 实质上没有响应采购文件要求的投标将被拒绝，投标人不得通过修正或撤消不合要求的偏离或保留从而使其投标成为实质上响应的投标。</w:t>
      </w:r>
    </w:p>
    <w:p>
      <w:pPr>
        <w:ind w:left="550" w:hanging="550" w:hangingChars="25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22.9 ▲</w:t>
      </w:r>
      <w:r>
        <w:rPr>
          <w:rFonts w:hint="eastAsia" w:ascii="新宋体" w:hAnsi="新宋体" w:eastAsia="新宋体" w:cs="新宋体"/>
          <w:b/>
          <w:bCs/>
          <w:color w:val="auto"/>
          <w:kern w:val="0"/>
          <w:sz w:val="22"/>
          <w:szCs w:val="22"/>
          <w:highlight w:val="none"/>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新宋体" w:hAnsi="新宋体" w:eastAsia="新宋体" w:cs="新宋体"/>
          <w:color w:val="auto"/>
          <w:kern w:val="0"/>
          <w:sz w:val="22"/>
          <w:szCs w:val="22"/>
          <w:highlight w:val="none"/>
        </w:rPr>
        <w:t>。</w:t>
      </w:r>
    </w:p>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22.10评标委员会对审查合格的投标文件按照采购文件中制订的评标方法进行综合评定打分。</w:t>
      </w:r>
    </w:p>
    <w:p>
      <w:pPr>
        <w:ind w:left="550" w:hanging="550" w:hangingChars="25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22.11评标过程中遇到特殊情况，由评标委员会遵循公开、公正原则，采取投票方式按照少数服从多数原则决定。</w:t>
      </w:r>
    </w:p>
    <w:p>
      <w:pPr>
        <w:tabs>
          <w:tab w:val="left" w:pos="540"/>
        </w:tabs>
        <w:ind w:left="552" w:hanging="552" w:hangingChars="250"/>
        <w:rPr>
          <w:rFonts w:ascii="新宋体" w:hAnsi="新宋体" w:cs="新宋体"/>
          <w:b/>
          <w:bCs/>
          <w:color w:val="auto"/>
          <w:sz w:val="22"/>
          <w:szCs w:val="22"/>
          <w:highlight w:val="none"/>
          <w:u w:val="single"/>
        </w:rPr>
      </w:pPr>
      <w:r>
        <w:rPr>
          <w:rFonts w:hint="eastAsia" w:ascii="新宋体" w:hAnsi="新宋体" w:eastAsia="新宋体" w:cs="新宋体"/>
          <w:b/>
          <w:bCs/>
          <w:color w:val="auto"/>
          <w:sz w:val="22"/>
          <w:szCs w:val="22"/>
          <w:highlight w:val="none"/>
        </w:rPr>
        <w:t>22.12</w:t>
      </w:r>
      <w:r>
        <w:rPr>
          <w:rFonts w:hint="eastAsia" w:ascii="宋体" w:hAnsi="宋体" w:cs="宋体"/>
          <w:b/>
          <w:bCs/>
          <w:color w:val="auto"/>
          <w:sz w:val="22"/>
          <w:szCs w:val="22"/>
          <w:highlight w:val="none"/>
        </w:rPr>
        <w:t>根据《温州市市属国有企业采购管理办法（试行）》第三十三条规定“采购响应（指投标或谈判、报价）截止时间止及评审期间，出现有效供应商不足三家的情形，如采购文件事先已在指定媒体公开征求了供应商意见且无重大异议，或经专家论证且出具了“供应商资格条件和项目技术指标等没有歧视性和倾向性”意见的，同时采购信息已在本办法规定的媒体上公告，采购文件的发售和截止时间符合法定或本办法规定，由实质性响应的供应商认可后，可以按原采购方式继续进行采购活动，但采购项目第一次评审活动除外。”</w:t>
      </w:r>
    </w:p>
    <w:p>
      <w:pPr>
        <w:numPr>
          <w:ilvl w:val="0"/>
          <w:numId w:val="11"/>
        </w:numPr>
        <w:tabs>
          <w:tab w:val="left" w:pos="540"/>
        </w:tabs>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 投标文件的澄清</w:t>
      </w:r>
    </w:p>
    <w:p>
      <w:pPr>
        <w:tabs>
          <w:tab w:val="left" w:pos="540"/>
        </w:tabs>
        <w:ind w:left="550" w:hanging="550" w:hangingChars="250"/>
        <w:rPr>
          <w:rFonts w:ascii="新宋体" w:hAnsi="新宋体" w:eastAsia="新宋体" w:cs="新宋体"/>
          <w:b/>
          <w:color w:val="auto"/>
          <w:sz w:val="22"/>
          <w:szCs w:val="22"/>
          <w:highlight w:val="none"/>
        </w:rPr>
      </w:pPr>
      <w:r>
        <w:rPr>
          <w:rFonts w:hint="eastAsia" w:ascii="新宋体" w:hAnsi="新宋体" w:eastAsia="新宋体" w:cs="新宋体"/>
          <w:bCs/>
          <w:color w:val="auto"/>
          <w:sz w:val="22"/>
          <w:szCs w:val="22"/>
          <w:highlight w:val="none"/>
        </w:rPr>
        <w:t>23.1 在评标期间，评标委员会可以书面方式要求投标人对投标文件中含义不明确、对同类问题表述不一致或者有明显文字和计算错误的内容作必要的澄清、说明或补正。澄清、说明或补正应以书面形式并由授权代表签署，但澄清内容不得超出投标文件的范围或者改变投标文件的实质性内容。拒不按要求对其投标文件进行澄清，说明或补正的投标人，评标委员会可以否决其投标。</w:t>
      </w:r>
    </w:p>
    <w:p>
      <w:pPr>
        <w:tabs>
          <w:tab w:val="left" w:pos="540"/>
        </w:tabs>
        <w:ind w:left="552" w:hanging="552" w:hangingChars="25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23.2 经澄清后，若偏差仍存在，且不可接受，投标人则被认为是“没有实质性响应采购文件要求”，其投标不进入下一步评审。</w:t>
      </w:r>
    </w:p>
    <w:p>
      <w:pPr>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24.  推荐中标候选人</w:t>
      </w:r>
    </w:p>
    <w:p>
      <w:pPr>
        <w:tabs>
          <w:tab w:val="left" w:pos="540"/>
        </w:tabs>
        <w:ind w:left="550" w:hanging="550" w:hangingChars="2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24.1 本次采购由评标委员会推荐中标候选人，采购人根据评标委员会的推荐结果进行最终确认。</w:t>
      </w:r>
      <w:r>
        <w:rPr>
          <w:rFonts w:hint="eastAsia" w:ascii="宋体" w:hAnsi="宋体"/>
          <w:color w:val="auto"/>
          <w:sz w:val="22"/>
          <w:szCs w:val="22"/>
          <w:highlight w:val="none"/>
        </w:rPr>
        <w:t>也可以事先授权评标委员会按照推荐的中标候选人顺序直接确定中标人。</w:t>
      </w:r>
    </w:p>
    <w:p>
      <w:pPr>
        <w:tabs>
          <w:tab w:val="left" w:pos="540"/>
        </w:tabs>
        <w:ind w:left="550" w:hanging="550" w:hangingChars="2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24.2 </w:t>
      </w:r>
      <w:r>
        <w:rPr>
          <w:rFonts w:hint="eastAsia" w:ascii="宋体" w:hAnsi="宋体" w:cs="宋体"/>
          <w:color w:val="auto"/>
          <w:sz w:val="22"/>
          <w:szCs w:val="22"/>
          <w:highlight w:val="none"/>
        </w:rPr>
        <w:t>评标委员会依据法律、法规及采购文件有关规定在有效标中按投标人综合得分（即技术资信分与商务（价格）分之和）由高到低顺序排列，综合得分前二名的投标人作为该项目第一中标候选人、第二中标候选人向采购人推荐，并提交评标报告（得分相同，投标报价低的排序第一；得分且投标报价相同的，则由评委抽签决定排序）</w:t>
      </w:r>
      <w:r>
        <w:rPr>
          <w:rFonts w:hint="eastAsia" w:ascii="新宋体" w:hAnsi="新宋体" w:eastAsia="新宋体" w:cs="新宋体"/>
          <w:color w:val="auto"/>
          <w:sz w:val="22"/>
          <w:szCs w:val="22"/>
          <w:highlight w:val="none"/>
        </w:rPr>
        <w:t>。</w:t>
      </w:r>
    </w:p>
    <w:p>
      <w:pPr>
        <w:tabs>
          <w:tab w:val="left" w:pos="540"/>
        </w:tabs>
        <w:autoSpaceDE w:val="0"/>
        <w:autoSpaceDN w:val="0"/>
        <w:adjustRightInd w:val="0"/>
        <w:ind w:left="550" w:hanging="550" w:hangingChars="250"/>
        <w:rPr>
          <w:rFonts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24.3 </w:t>
      </w:r>
      <w:r>
        <w:rPr>
          <w:rFonts w:hint="eastAsia" w:ascii="宋体" w:hAnsi="宋体" w:cs="宋体"/>
          <w:color w:val="auto"/>
          <w:sz w:val="22"/>
          <w:szCs w:val="22"/>
          <w:highlight w:val="none"/>
        </w:rPr>
        <w:t>排名第一的中标候选人因自身原因放弃中标或因不可抗力不能履行合同的；或采购文件规定应当提交履约保证金而在规定的期限内未能提交的；或未能在规定时间内与采购人签订合同的；或经质疑，采购组织机构审查确认因排名第一的中标候选人在本次采购活动中存在违法违规行为或其他原因使质疑成立的，采购人可以直接确定排名第二的中标候选人为中标人，或重新组织采购。</w:t>
      </w:r>
    </w:p>
    <w:p>
      <w:pPr>
        <w:tabs>
          <w:tab w:val="left" w:pos="540"/>
        </w:tabs>
        <w:ind w:left="550" w:hanging="550" w:hangingChars="2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24.4 采购人、采购代理机构及评标委员会不向落标的投标人解释落标原因，也不公布评标过程中的相关细节。</w:t>
      </w:r>
    </w:p>
    <w:p>
      <w:pPr>
        <w:tabs>
          <w:tab w:val="left" w:pos="525"/>
          <w:tab w:val="left" w:pos="900"/>
        </w:tabs>
        <w:rPr>
          <w:rFonts w:ascii="宋体" w:hAnsi="宋体" w:cs="宋体"/>
          <w:color w:val="auto"/>
          <w:sz w:val="22"/>
          <w:szCs w:val="22"/>
          <w:highlight w:val="none"/>
        </w:rPr>
      </w:pPr>
      <w:r>
        <w:rPr>
          <w:rFonts w:hint="eastAsia" w:ascii="新宋体" w:hAnsi="新宋体" w:eastAsia="新宋体" w:cs="新宋体"/>
          <w:bCs/>
          <w:color w:val="auto"/>
          <w:sz w:val="22"/>
          <w:szCs w:val="22"/>
          <w:highlight w:val="none"/>
        </w:rPr>
        <w:t>25.  评标细则详见“评标原则及方法”。</w:t>
      </w:r>
    </w:p>
    <w:p>
      <w:pPr>
        <w:spacing w:before="120" w:beforeLines="50" w:after="120" w:afterLines="50"/>
        <w:jc w:val="center"/>
        <w:rPr>
          <w:rFonts w:ascii="宋体" w:hAnsi="宋体" w:cs="宋体"/>
          <w:b/>
          <w:color w:val="auto"/>
          <w:sz w:val="28"/>
          <w:szCs w:val="28"/>
          <w:highlight w:val="none"/>
        </w:rPr>
      </w:pPr>
      <w:r>
        <w:rPr>
          <w:rFonts w:hint="eastAsia" w:ascii="宋体" w:hAnsi="宋体" w:cs="宋体"/>
          <w:b/>
          <w:color w:val="auto"/>
          <w:sz w:val="28"/>
          <w:szCs w:val="28"/>
          <w:highlight w:val="none"/>
        </w:rPr>
        <w:t>六、 定标及授予合同</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tabs>
          <w:tab w:val="left" w:pos="540"/>
          <w:tab w:val="left" w:pos="900"/>
        </w:tabs>
        <w:rPr>
          <w:rFonts w:ascii="宋体" w:hAnsi="宋体"/>
          <w:bCs/>
          <w:color w:val="auto"/>
          <w:sz w:val="22"/>
          <w:szCs w:val="22"/>
          <w:highlight w:val="none"/>
        </w:rPr>
      </w:pPr>
      <w:r>
        <w:rPr>
          <w:rFonts w:hint="eastAsia" w:ascii="宋体" w:hAnsi="宋体"/>
          <w:bCs/>
          <w:color w:val="auto"/>
          <w:sz w:val="22"/>
          <w:szCs w:val="22"/>
          <w:highlight w:val="none"/>
        </w:rPr>
        <w:t>26.  确认中标人</w:t>
      </w:r>
    </w:p>
    <w:p>
      <w:pPr>
        <w:tabs>
          <w:tab w:val="left" w:pos="540"/>
          <w:tab w:val="left" w:pos="635"/>
          <w:tab w:val="left" w:pos="900"/>
        </w:tabs>
        <w:ind w:left="550" w:hanging="550" w:hangingChars="250"/>
        <w:rPr>
          <w:rFonts w:ascii="宋体" w:hAnsi="宋体"/>
          <w:color w:val="auto"/>
          <w:sz w:val="22"/>
          <w:szCs w:val="22"/>
          <w:highlight w:val="none"/>
        </w:rPr>
      </w:pPr>
      <w:r>
        <w:rPr>
          <w:rFonts w:hint="eastAsia" w:ascii="宋体" w:hAnsi="宋体"/>
          <w:color w:val="auto"/>
          <w:sz w:val="22"/>
          <w:szCs w:val="22"/>
          <w:highlight w:val="none"/>
        </w:rPr>
        <w:t>26.1 采购人自收到评标报告之日起5个工作日内，在评标报告确定的中标候选人名单中按</w:t>
      </w:r>
      <w:r>
        <w:rPr>
          <w:rFonts w:hint="eastAsia" w:ascii="宋体" w:hAnsi="宋体"/>
          <w:bCs/>
          <w:color w:val="auto"/>
          <w:sz w:val="22"/>
          <w:szCs w:val="22"/>
          <w:highlight w:val="none"/>
        </w:rPr>
        <w:t>顺序确定中标人。</w:t>
      </w:r>
    </w:p>
    <w:p>
      <w:pPr>
        <w:tabs>
          <w:tab w:val="left" w:pos="540"/>
          <w:tab w:val="left" w:pos="900"/>
        </w:tabs>
        <w:ind w:left="550" w:hanging="550" w:hangingChars="250"/>
        <w:rPr>
          <w:rFonts w:ascii="宋体" w:hAnsi="宋体" w:cs="宋体"/>
          <w:bCs/>
          <w:color w:val="auto"/>
          <w:sz w:val="22"/>
          <w:szCs w:val="22"/>
          <w:highlight w:val="none"/>
        </w:rPr>
      </w:pPr>
      <w:r>
        <w:rPr>
          <w:rFonts w:hint="eastAsia" w:ascii="宋体" w:hAnsi="宋体"/>
          <w:color w:val="auto"/>
          <w:sz w:val="22"/>
          <w:szCs w:val="22"/>
          <w:highlight w:val="none"/>
        </w:rPr>
        <w:t>26.2 中标人确定之日起2个工作日内，在</w:t>
      </w:r>
      <w:r>
        <w:rPr>
          <w:rFonts w:hint="eastAsia" w:ascii="宋体" w:hAnsi="宋体" w:cs="宋体"/>
          <w:color w:val="auto"/>
          <w:sz w:val="22"/>
          <w:szCs w:val="22"/>
          <w:highlight w:val="none"/>
        </w:rPr>
        <w:t>浙江政府采购网、温州国企采购平台等发布公告的网站上</w:t>
      </w:r>
      <w:r>
        <w:rPr>
          <w:rFonts w:hint="eastAsia" w:ascii="宋体" w:hAnsi="宋体" w:cs="宋体"/>
          <w:bCs/>
          <w:color w:val="auto"/>
          <w:sz w:val="22"/>
          <w:szCs w:val="22"/>
          <w:highlight w:val="none"/>
        </w:rPr>
        <w:t>公示</w:t>
      </w:r>
      <w:r>
        <w:rPr>
          <w:rFonts w:hint="eastAsia" w:ascii="宋体" w:hAnsi="宋体"/>
          <w:color w:val="auto"/>
          <w:sz w:val="22"/>
          <w:szCs w:val="22"/>
          <w:highlight w:val="none"/>
        </w:rPr>
        <w:t>中标结果，中标公告期限为1个工作日。</w:t>
      </w:r>
    </w:p>
    <w:p>
      <w:pPr>
        <w:tabs>
          <w:tab w:val="left" w:pos="525"/>
          <w:tab w:val="left" w:pos="900"/>
        </w:tabs>
        <w:rPr>
          <w:rFonts w:ascii="宋体" w:hAnsi="宋体" w:cs="宋体"/>
          <w:color w:val="auto"/>
          <w:sz w:val="22"/>
          <w:szCs w:val="22"/>
          <w:highlight w:val="none"/>
        </w:rPr>
      </w:pPr>
      <w:r>
        <w:rPr>
          <w:rFonts w:hint="eastAsia" w:ascii="宋体" w:hAnsi="宋体" w:cs="宋体"/>
          <w:color w:val="auto"/>
          <w:sz w:val="22"/>
          <w:szCs w:val="22"/>
          <w:highlight w:val="none"/>
        </w:rPr>
        <w:t>27.  中标通知书</w:t>
      </w:r>
    </w:p>
    <w:p>
      <w:pPr>
        <w:tabs>
          <w:tab w:val="left" w:pos="540"/>
        </w:tabs>
        <w:rPr>
          <w:rFonts w:ascii="宋体" w:hAnsi="宋体" w:cs="宋体"/>
          <w:color w:val="auto"/>
          <w:sz w:val="22"/>
          <w:szCs w:val="22"/>
          <w:highlight w:val="none"/>
        </w:rPr>
      </w:pPr>
      <w:r>
        <w:rPr>
          <w:rFonts w:hint="eastAsia" w:ascii="宋体" w:hAnsi="宋体" w:cs="宋体"/>
          <w:color w:val="auto"/>
          <w:sz w:val="22"/>
          <w:szCs w:val="22"/>
          <w:highlight w:val="none"/>
        </w:rPr>
        <w:t xml:space="preserve">27.1 中标人确定后，采购人将向中标人发出中标通知书。 </w:t>
      </w:r>
    </w:p>
    <w:p>
      <w:pPr>
        <w:tabs>
          <w:tab w:val="left" w:pos="540"/>
        </w:tabs>
        <w:rPr>
          <w:rFonts w:ascii="宋体" w:hAnsi="宋体" w:cs="宋体"/>
          <w:color w:val="auto"/>
          <w:sz w:val="22"/>
          <w:szCs w:val="22"/>
          <w:highlight w:val="none"/>
        </w:rPr>
      </w:pPr>
      <w:r>
        <w:rPr>
          <w:rFonts w:hint="eastAsia" w:ascii="宋体" w:hAnsi="宋体" w:cs="宋体"/>
          <w:color w:val="auto"/>
          <w:sz w:val="22"/>
          <w:szCs w:val="22"/>
          <w:highlight w:val="none"/>
        </w:rPr>
        <w:t>27.2 中标通知书是合同的一个组成部分,对采购人和中标人均具有同等法律效力。</w:t>
      </w:r>
    </w:p>
    <w:p>
      <w:pPr>
        <w:tabs>
          <w:tab w:val="left" w:pos="525"/>
          <w:tab w:val="left" w:pos="900"/>
        </w:tabs>
        <w:rPr>
          <w:rFonts w:ascii="宋体" w:hAnsi="宋体" w:cs="宋体"/>
          <w:color w:val="auto"/>
          <w:sz w:val="22"/>
          <w:szCs w:val="22"/>
          <w:highlight w:val="none"/>
        </w:rPr>
      </w:pPr>
      <w:r>
        <w:rPr>
          <w:rFonts w:hint="eastAsia" w:ascii="宋体" w:hAnsi="宋体" w:cs="宋体"/>
          <w:color w:val="auto"/>
          <w:sz w:val="22"/>
          <w:szCs w:val="22"/>
          <w:highlight w:val="none"/>
        </w:rPr>
        <w:t>28.  签订合同</w:t>
      </w:r>
    </w:p>
    <w:p>
      <w:pPr>
        <w:tabs>
          <w:tab w:val="left" w:pos="540"/>
        </w:tabs>
        <w:ind w:left="550" w:hanging="550" w:hangingChars="250"/>
        <w:rPr>
          <w:rFonts w:ascii="宋体" w:hAnsi="宋体" w:cs="宋体"/>
          <w:color w:val="auto"/>
          <w:sz w:val="22"/>
          <w:szCs w:val="22"/>
          <w:highlight w:val="none"/>
        </w:rPr>
      </w:pPr>
      <w:r>
        <w:rPr>
          <w:rFonts w:hint="eastAsia" w:ascii="宋体" w:hAnsi="宋体" w:cs="宋体"/>
          <w:color w:val="auto"/>
          <w:sz w:val="22"/>
          <w:szCs w:val="22"/>
          <w:highlight w:val="none"/>
        </w:rPr>
        <w:t>28.1 中标人应按中标通知书规定的时间、地点与采购人签订合同，并在指定媒体上公示无异议后生效。</w:t>
      </w:r>
    </w:p>
    <w:p>
      <w:pPr>
        <w:tabs>
          <w:tab w:val="left" w:pos="540"/>
        </w:tabs>
        <w:ind w:left="550" w:hanging="550" w:hangingChars="250"/>
        <w:rPr>
          <w:rFonts w:ascii="宋体" w:hAnsi="宋体" w:cs="宋体"/>
          <w:color w:val="auto"/>
          <w:sz w:val="22"/>
          <w:szCs w:val="22"/>
          <w:highlight w:val="none"/>
        </w:rPr>
      </w:pPr>
      <w:r>
        <w:rPr>
          <w:rFonts w:hint="eastAsia" w:ascii="宋体" w:hAnsi="宋体" w:cs="宋体"/>
          <w:color w:val="auto"/>
          <w:sz w:val="22"/>
          <w:szCs w:val="22"/>
          <w:highlight w:val="none"/>
        </w:rPr>
        <w:t>28.2 在签订合同前，采购人有权在中标总价不变的前提下要求中标人对商务报价中的不平衡报价和缺漏项进行调整，如果中标人无合理理由拒绝调整，其中标资格将被取消，保证金将被不予退还，且将导致其它进一步的赔偿和处罚。</w:t>
      </w:r>
    </w:p>
    <w:p>
      <w:pPr>
        <w:tabs>
          <w:tab w:val="left" w:pos="540"/>
        </w:tabs>
        <w:ind w:left="550" w:hanging="550" w:hangingChars="250"/>
        <w:rPr>
          <w:rFonts w:ascii="宋体" w:hAnsi="宋体" w:cs="宋体"/>
          <w:color w:val="auto"/>
          <w:sz w:val="22"/>
          <w:szCs w:val="22"/>
          <w:highlight w:val="none"/>
        </w:rPr>
      </w:pPr>
      <w:r>
        <w:rPr>
          <w:rFonts w:hint="eastAsia" w:ascii="宋体" w:hAnsi="宋体" w:cs="宋体"/>
          <w:color w:val="auto"/>
          <w:sz w:val="22"/>
          <w:szCs w:val="22"/>
          <w:highlight w:val="none"/>
        </w:rPr>
        <w:t>28.3 采购文件、中标人的投标文件、投标修改文件、评标过程中有关澄清文件及经投标人和评委双方签字的询标纪要和中标通知书均作为合同附件。</w:t>
      </w:r>
    </w:p>
    <w:p>
      <w:pPr>
        <w:tabs>
          <w:tab w:val="left" w:pos="540"/>
        </w:tabs>
        <w:rPr>
          <w:rFonts w:ascii="宋体" w:hAnsi="宋体" w:cs="宋体"/>
          <w:color w:val="auto"/>
          <w:sz w:val="22"/>
          <w:szCs w:val="22"/>
          <w:highlight w:val="none"/>
        </w:rPr>
      </w:pPr>
      <w:r>
        <w:rPr>
          <w:rFonts w:hint="eastAsia" w:ascii="宋体" w:hAnsi="宋体" w:cs="宋体"/>
          <w:color w:val="auto"/>
          <w:sz w:val="22"/>
          <w:szCs w:val="22"/>
          <w:highlight w:val="none"/>
        </w:rPr>
        <w:t>28.4 拒签合同的违约责任</w:t>
      </w:r>
    </w:p>
    <w:p>
      <w:pPr>
        <w:ind w:left="538" w:leftChars="256"/>
        <w:rPr>
          <w:rFonts w:ascii="宋体" w:hAnsi="宋体" w:cs="宋体"/>
          <w:bCs/>
          <w:color w:val="auto"/>
          <w:sz w:val="22"/>
          <w:szCs w:val="22"/>
          <w:highlight w:val="none"/>
        </w:rPr>
      </w:pPr>
      <w:r>
        <w:rPr>
          <w:rFonts w:hint="eastAsia" w:ascii="宋体" w:hAnsi="宋体" w:cs="宋体"/>
          <w:bCs/>
          <w:color w:val="auto"/>
          <w:sz w:val="22"/>
          <w:szCs w:val="22"/>
          <w:highlight w:val="none"/>
        </w:rPr>
        <w:t>中标人接到中标通知书后，在规定时间内借故否认已经承诺的条件而拒签合同的，以违约处理，其投标保证金将被不予退还。</w:t>
      </w:r>
    </w:p>
    <w:p>
      <w:pPr>
        <w:ind w:left="550" w:hanging="550" w:hangingChars="250"/>
        <w:rPr>
          <w:rFonts w:ascii="宋体" w:hAnsi="宋体" w:cs="宋体"/>
          <w:b/>
          <w:color w:val="auto"/>
          <w:sz w:val="22"/>
          <w:szCs w:val="22"/>
          <w:highlight w:val="none"/>
        </w:rPr>
      </w:pPr>
      <w:r>
        <w:rPr>
          <w:rFonts w:hint="eastAsia" w:ascii="宋体" w:hAnsi="宋体" w:cs="宋体"/>
          <w:bCs/>
          <w:color w:val="auto"/>
          <w:sz w:val="22"/>
          <w:szCs w:val="22"/>
          <w:highlight w:val="none"/>
        </w:rPr>
        <w:t xml:space="preserve">28.5 </w:t>
      </w:r>
      <w:r>
        <w:rPr>
          <w:rFonts w:hint="eastAsia" w:ascii="宋体" w:hAnsi="宋体" w:cs="宋体"/>
          <w:bCs/>
          <w:snapToGrid w:val="0"/>
          <w:color w:val="auto"/>
          <w:sz w:val="22"/>
          <w:szCs w:val="22"/>
          <w:highlight w:val="none"/>
        </w:rPr>
        <w:t>中标人应在合同签订后2天内将合同扫描件电子版发给采购代理机构，由采购代理机构负责备案。邮箱：43397725@qq.com，否则会影响投标保证金的退付。</w:t>
      </w:r>
    </w:p>
    <w:p>
      <w:pPr>
        <w:ind w:left="550" w:hanging="550" w:hangingChars="250"/>
        <w:rPr>
          <w:rFonts w:ascii="宋体" w:hAnsi="宋体"/>
          <w:color w:val="auto"/>
          <w:sz w:val="22"/>
          <w:highlight w:val="none"/>
        </w:rPr>
      </w:pPr>
      <w:r>
        <w:rPr>
          <w:rFonts w:hint="eastAsia" w:ascii="宋体" w:hAnsi="宋体"/>
          <w:color w:val="auto"/>
          <w:sz w:val="22"/>
          <w:highlight w:val="none"/>
        </w:rPr>
        <w:t>29.  履约保证金</w:t>
      </w:r>
    </w:p>
    <w:p>
      <w:pPr>
        <w:ind w:left="550" w:hanging="550" w:hangingChars="250"/>
        <w:rPr>
          <w:rFonts w:ascii="宋体" w:hAnsi="宋体"/>
          <w:color w:val="auto"/>
          <w:sz w:val="22"/>
          <w:szCs w:val="22"/>
          <w:highlight w:val="none"/>
        </w:rPr>
      </w:pPr>
      <w:r>
        <w:rPr>
          <w:rFonts w:hint="eastAsia" w:ascii="宋体" w:hAnsi="宋体"/>
          <w:color w:val="auto"/>
          <w:sz w:val="22"/>
          <w:highlight w:val="none"/>
        </w:rPr>
        <w:t>29.1 中标</w:t>
      </w:r>
      <w:r>
        <w:rPr>
          <w:rFonts w:hint="eastAsia" w:ascii="宋体" w:hAnsi="宋体"/>
          <w:color w:val="auto"/>
          <w:sz w:val="22"/>
          <w:szCs w:val="22"/>
          <w:highlight w:val="none"/>
        </w:rPr>
        <w:t>人必须在签订本合同前七天内向采购人缴付合同金额5%的履约保证金。</w:t>
      </w:r>
    </w:p>
    <w:p>
      <w:pPr>
        <w:ind w:left="550" w:hanging="550" w:hangingChars="250"/>
        <w:rPr>
          <w:rFonts w:ascii="宋体" w:hAnsi="宋体"/>
          <w:color w:val="auto"/>
          <w:sz w:val="22"/>
          <w:highlight w:val="none"/>
        </w:rPr>
      </w:pPr>
      <w:r>
        <w:rPr>
          <w:rFonts w:hint="eastAsia" w:ascii="宋体" w:hAnsi="宋体"/>
          <w:color w:val="auto"/>
          <w:sz w:val="22"/>
          <w:szCs w:val="22"/>
          <w:highlight w:val="none"/>
        </w:rPr>
        <w:t>29.2 履约保证金用于补偿采购人因成交供应商</w:t>
      </w:r>
      <w:r>
        <w:rPr>
          <w:rFonts w:hint="eastAsia" w:ascii="宋体" w:hAnsi="宋体"/>
          <w:color w:val="auto"/>
          <w:sz w:val="22"/>
          <w:highlight w:val="none"/>
        </w:rPr>
        <w:t>不能履行其合同义务而蒙受的损失。</w:t>
      </w:r>
    </w:p>
    <w:p>
      <w:pPr>
        <w:ind w:left="550" w:hanging="550" w:hangingChars="250"/>
        <w:rPr>
          <w:rFonts w:ascii="宋体" w:hAnsi="宋体"/>
          <w:color w:val="auto"/>
          <w:sz w:val="22"/>
          <w:highlight w:val="none"/>
        </w:rPr>
      </w:pPr>
      <w:r>
        <w:rPr>
          <w:rFonts w:hint="eastAsia" w:ascii="宋体" w:hAnsi="宋体"/>
          <w:color w:val="auto"/>
          <w:sz w:val="22"/>
          <w:highlight w:val="none"/>
        </w:rPr>
        <w:t>29.3 履约保证金自合同签订之日起至履约完毕止有效。有效期满后，采购人应及时将履约保证金无息退还给成交供应商。</w:t>
      </w:r>
    </w:p>
    <w:p>
      <w:pPr>
        <w:ind w:left="550" w:hanging="550" w:hangingChars="250"/>
        <w:rPr>
          <w:rFonts w:ascii="宋体" w:hAnsi="宋体"/>
          <w:b/>
          <w:color w:val="auto"/>
          <w:sz w:val="22"/>
          <w:highlight w:val="none"/>
        </w:rPr>
      </w:pPr>
      <w:r>
        <w:rPr>
          <w:rFonts w:hint="eastAsia" w:ascii="宋体" w:hAnsi="宋体"/>
          <w:color w:val="auto"/>
          <w:sz w:val="22"/>
          <w:highlight w:val="none"/>
        </w:rPr>
        <w:t xml:space="preserve">30.  </w:t>
      </w:r>
      <w:r>
        <w:rPr>
          <w:rFonts w:hint="eastAsia" w:ascii="宋体" w:hAnsi="宋体"/>
          <w:b/>
          <w:color w:val="auto"/>
          <w:sz w:val="22"/>
          <w:highlight w:val="none"/>
        </w:rPr>
        <w:t>质疑与投诉</w:t>
      </w:r>
    </w:p>
    <w:p>
      <w:pPr>
        <w:ind w:left="550" w:hanging="550" w:hangingChars="250"/>
        <w:rPr>
          <w:rFonts w:ascii="宋体" w:hAnsi="宋体"/>
          <w:color w:val="auto"/>
          <w:sz w:val="22"/>
          <w:highlight w:val="none"/>
        </w:rPr>
      </w:pPr>
      <w:r>
        <w:rPr>
          <w:rFonts w:hint="eastAsia" w:ascii="宋体" w:hAnsi="宋体"/>
          <w:color w:val="auto"/>
          <w:sz w:val="22"/>
          <w:highlight w:val="none"/>
        </w:rPr>
        <w:t xml:space="preserve">30.1 </w:t>
      </w:r>
      <w:r>
        <w:rPr>
          <w:rFonts w:hint="eastAsia" w:ascii="宋体" w:hAnsi="宋体"/>
          <w:color w:val="auto"/>
          <w:sz w:val="22"/>
          <w:highlight w:val="none"/>
          <w:u w:val="single"/>
        </w:rPr>
        <w:t>投标人认为采购文件、采购过程、中标结果使自己的合法权益受到损害的，可以在知道或应知其权益受到损害之日起七个工作日内以书面形式向采购单位提出质疑</w:t>
      </w:r>
      <w:r>
        <w:rPr>
          <w:rFonts w:hint="eastAsia" w:ascii="宋体" w:hAnsi="宋体"/>
          <w:color w:val="auto"/>
          <w:sz w:val="22"/>
          <w:highlight w:val="none"/>
        </w:rPr>
        <w:t>。</w:t>
      </w:r>
    </w:p>
    <w:p>
      <w:pPr>
        <w:ind w:left="550" w:hanging="550" w:hangingChars="250"/>
        <w:rPr>
          <w:rFonts w:ascii="宋体" w:hAnsi="宋体"/>
          <w:color w:val="auto"/>
          <w:sz w:val="22"/>
          <w:highlight w:val="none"/>
        </w:rPr>
      </w:pPr>
      <w:r>
        <w:rPr>
          <w:rFonts w:hint="eastAsia" w:ascii="宋体" w:hAnsi="宋体"/>
          <w:color w:val="auto"/>
          <w:sz w:val="22"/>
          <w:highlight w:val="none"/>
        </w:rPr>
        <w:t xml:space="preserve">30.2 </w:t>
      </w:r>
      <w:r>
        <w:rPr>
          <w:rFonts w:hint="eastAsia" w:ascii="宋体" w:hAnsi="宋体"/>
          <w:color w:val="auto"/>
          <w:sz w:val="22"/>
          <w:highlight w:val="none"/>
          <w:u w:val="single"/>
        </w:rPr>
        <w:t>采购单位在收到投标人的书面质疑后七个工作日内作出答复，但答复的内容不得涉及商业秘密。质疑供应商对采购单位的答复不满意，可以在答复期满后十五个工作日内向温州快鹿集团公司纪检室投诉</w:t>
      </w:r>
      <w:r>
        <w:rPr>
          <w:rFonts w:hint="eastAsia" w:ascii="宋体" w:hAnsi="宋体"/>
          <w:color w:val="auto"/>
          <w:sz w:val="22"/>
          <w:highlight w:val="none"/>
        </w:rPr>
        <w:t>。</w:t>
      </w:r>
    </w:p>
    <w:p>
      <w:pPr>
        <w:tabs>
          <w:tab w:val="left" w:pos="540"/>
          <w:tab w:val="left" w:pos="900"/>
        </w:tabs>
        <w:ind w:left="550" w:hanging="550" w:hangingChars="250"/>
        <w:rPr>
          <w:rFonts w:ascii="宋体" w:hAnsi="宋体"/>
          <w:color w:val="auto"/>
          <w:sz w:val="22"/>
          <w:highlight w:val="none"/>
        </w:rPr>
      </w:pPr>
      <w:r>
        <w:rPr>
          <w:rFonts w:hint="eastAsia" w:ascii="宋体" w:hAnsi="宋体"/>
          <w:color w:val="auto"/>
          <w:sz w:val="22"/>
          <w:highlight w:val="none"/>
        </w:rPr>
        <w:t xml:space="preserve">30.3 </w:t>
      </w:r>
      <w:r>
        <w:rPr>
          <w:rFonts w:hint="eastAsia" w:ascii="宋体" w:hAnsi="宋体"/>
          <w:color w:val="auto"/>
          <w:sz w:val="22"/>
          <w:highlight w:val="none"/>
          <w:u w:val="single"/>
        </w:rPr>
        <w:t>投诉人投诉时，应提交投诉书，投诉书应当由本人或法定代表人签字盖公章，投诉书应说明具体的投诉事项及事实依据。投诉人对投诉书的真实性负责，恶意投诉将承当相应的法律和民事责任</w:t>
      </w:r>
      <w:r>
        <w:rPr>
          <w:rFonts w:hint="eastAsia" w:ascii="宋体" w:hAnsi="宋体"/>
          <w:color w:val="auto"/>
          <w:sz w:val="22"/>
          <w:highlight w:val="none"/>
        </w:rPr>
        <w:t>。</w:t>
      </w:r>
    </w:p>
    <w:p>
      <w:pPr>
        <w:widowControl/>
        <w:ind w:left="62" w:right="62" w:firstLine="440" w:firstLineChars="200"/>
        <w:jc w:val="left"/>
        <w:rPr>
          <w:color w:val="auto"/>
          <w:highlight w:val="none"/>
        </w:rPr>
        <w:pPrChange w:id="52" w:author="张弓达" w:date="2021-09-07T15:34:30Z">
          <w:pPr>
            <w:pStyle w:val="18"/>
            <w:ind w:left="550" w:hanging="550" w:hangingChars="250"/>
          </w:pPr>
        </w:pPrChange>
      </w:pPr>
      <w:r>
        <w:rPr>
          <w:rFonts w:hint="eastAsia" w:ascii="宋体" w:hAnsi="宋体"/>
          <w:color w:val="auto"/>
          <w:sz w:val="22"/>
          <w:highlight w:val="none"/>
        </w:rPr>
        <w:t xml:space="preserve">30.4 </w:t>
      </w:r>
      <w:ins w:id="53" w:author="张弓达" w:date="2021-09-07T15:34:29Z">
        <w:r>
          <w:rPr>
            <w:rFonts w:hint="eastAsia" w:ascii="宋体" w:hAnsi="宋体" w:cs="宋体"/>
            <w:bCs/>
            <w:color w:val="auto"/>
            <w:kern w:val="0"/>
            <w:sz w:val="22"/>
            <w:szCs w:val="22"/>
            <w:highlight w:val="none"/>
            <w:u w:val="single"/>
          </w:rPr>
          <w:t>温州市工业与能源发展集团有限公司负责对投标供应商反映的企业本部及所属企业在采购活动中出现的违法违规问题进行答疑回复。投标供应商认为温州市工业与能源发展集团有限公司答疑回复处理结果不合法的，可以采购人或代理机构为对象依法向人民法院提起诉讼。</w:t>
        </w:r>
      </w:ins>
      <w:del w:id="54" w:author="张弓达" w:date="2021-09-07T15:34:30Z">
        <w:r>
          <w:rPr>
            <w:rFonts w:hint="eastAsia" w:ascii="宋体" w:hAnsi="宋体"/>
            <w:color w:val="auto"/>
            <w:sz w:val="22"/>
            <w:highlight w:val="none"/>
            <w:u w:val="single"/>
          </w:rPr>
          <w:delText>温州快鹿集团公司</w:delText>
        </w:r>
      </w:del>
      <w:del w:id="55" w:author="张弓达" w:date="2021-09-07T15:34:30Z">
        <w:r>
          <w:rPr>
            <w:rFonts w:hint="eastAsia" w:ascii="宋体" w:hAnsi="宋体" w:cs="宋体"/>
            <w:color w:val="auto"/>
            <w:kern w:val="0"/>
            <w:sz w:val="22"/>
            <w:szCs w:val="22"/>
            <w:highlight w:val="none"/>
            <w:u w:val="single"/>
          </w:rPr>
          <w:delText>负责对投标人反映的企业本部及所属企业在采购活动中出现的违法违规问题进行答疑回复。投标人认为温州快鹿集团公司答疑回复处理结果不合法的，可以采购人或代理机构为对象依法向人民法院提起诉讼</w:delText>
        </w:r>
      </w:del>
      <w:del w:id="56" w:author="张弓达" w:date="2021-09-07T15:34:30Z">
        <w:r>
          <w:rPr>
            <w:rFonts w:hint="eastAsia" w:ascii="宋体" w:hAnsi="宋体" w:cs="宋体"/>
            <w:color w:val="auto"/>
            <w:kern w:val="0"/>
            <w:sz w:val="22"/>
            <w:szCs w:val="22"/>
            <w:highlight w:val="none"/>
          </w:rPr>
          <w:delText>。</w:delText>
        </w:r>
      </w:del>
    </w:p>
    <w:p>
      <w:pPr>
        <w:tabs>
          <w:tab w:val="left" w:pos="540"/>
          <w:tab w:val="left" w:pos="900"/>
        </w:tabs>
        <w:rPr>
          <w:rFonts w:ascii="宋体" w:hAnsi="宋体" w:cs="宋体"/>
          <w:b/>
          <w:color w:val="auto"/>
          <w:sz w:val="22"/>
          <w:szCs w:val="22"/>
          <w:highlight w:val="none"/>
          <w:shd w:val="clear" w:color="auto" w:fill="FFFF00"/>
        </w:rPr>
      </w:pPr>
      <w:r>
        <w:rPr>
          <w:rFonts w:hint="eastAsia" w:ascii="宋体" w:hAnsi="宋体" w:cs="宋体"/>
          <w:b/>
          <w:color w:val="auto"/>
          <w:sz w:val="22"/>
          <w:szCs w:val="22"/>
          <w:highlight w:val="none"/>
        </w:rPr>
        <w:t>31.  采购代理服务费</w:t>
      </w:r>
    </w:p>
    <w:p>
      <w:pPr>
        <w:ind w:left="550" w:hanging="550" w:hangingChars="250"/>
        <w:rPr>
          <w:rFonts w:ascii="宋体" w:hAnsi="宋体" w:cs="宋体"/>
          <w:bCs/>
          <w:color w:val="auto"/>
          <w:sz w:val="22"/>
          <w:szCs w:val="22"/>
          <w:highlight w:val="none"/>
        </w:rPr>
      </w:pPr>
      <w:bookmarkStart w:id="160" w:name="_Toc223933227"/>
      <w:bookmarkStart w:id="161" w:name="_Toc219538619"/>
      <w:bookmarkStart w:id="162" w:name="_Toc227057039"/>
      <w:bookmarkStart w:id="163" w:name="_Toc227056852"/>
      <w:bookmarkStart w:id="164" w:name="_Toc227489893"/>
      <w:bookmarkStart w:id="165" w:name="_Toc215415536"/>
      <w:bookmarkStart w:id="166" w:name="_Toc217460691"/>
      <w:bookmarkStart w:id="167" w:name="_Toc223717610"/>
      <w:bookmarkStart w:id="168" w:name="_Toc218041732"/>
      <w:bookmarkStart w:id="169" w:name="_Toc216667826"/>
      <w:r>
        <w:rPr>
          <w:rFonts w:hint="eastAsia" w:ascii="宋体" w:hAnsi="宋体" w:cs="宋体"/>
          <w:bCs/>
          <w:color w:val="auto"/>
          <w:sz w:val="22"/>
          <w:szCs w:val="22"/>
          <w:highlight w:val="none"/>
        </w:rPr>
        <w:t>31.1 本次招标（采购）代理服务费按人民币柒仟捌佰元（￥7800.00）收取，由中标人在领取中标通知书之前支付给采购代理机构。</w:t>
      </w:r>
    </w:p>
    <w:p>
      <w:pPr>
        <w:ind w:firstLine="550" w:firstLineChars="250"/>
        <w:rPr>
          <w:rFonts w:ascii="宋体" w:hAnsi="宋体" w:cs="宋体"/>
          <w:bCs/>
          <w:color w:val="auto"/>
          <w:sz w:val="22"/>
          <w:szCs w:val="22"/>
          <w:highlight w:val="none"/>
        </w:rPr>
      </w:pPr>
      <w:r>
        <w:rPr>
          <w:rFonts w:hint="eastAsia" w:ascii="宋体" w:hAnsi="宋体" w:cs="宋体"/>
          <w:bCs/>
          <w:color w:val="auto"/>
          <w:sz w:val="22"/>
          <w:szCs w:val="22"/>
          <w:highlight w:val="none"/>
        </w:rPr>
        <w:t>代理服务费汇入以下帐号：</w:t>
      </w:r>
    </w:p>
    <w:p>
      <w:pPr>
        <w:ind w:firstLine="550" w:firstLineChars="250"/>
        <w:rPr>
          <w:rFonts w:ascii="宋体" w:hAnsi="宋体" w:cs="宋体"/>
          <w:bCs/>
          <w:color w:val="auto"/>
          <w:sz w:val="22"/>
          <w:szCs w:val="22"/>
          <w:highlight w:val="none"/>
        </w:rPr>
      </w:pPr>
      <w:r>
        <w:rPr>
          <w:rFonts w:hint="eastAsia" w:ascii="宋体" w:hAnsi="宋体" w:cs="宋体"/>
          <w:bCs/>
          <w:color w:val="auto"/>
          <w:sz w:val="22"/>
          <w:szCs w:val="22"/>
          <w:highlight w:val="none"/>
        </w:rPr>
        <w:t>开户银行：中信银行温州分行营业部</w:t>
      </w:r>
    </w:p>
    <w:p>
      <w:pPr>
        <w:ind w:firstLine="550" w:firstLineChars="250"/>
        <w:rPr>
          <w:rFonts w:ascii="宋体" w:hAnsi="宋体" w:cs="宋体"/>
          <w:bCs/>
          <w:color w:val="auto"/>
          <w:sz w:val="22"/>
          <w:szCs w:val="22"/>
          <w:highlight w:val="none"/>
        </w:rPr>
      </w:pPr>
      <w:r>
        <w:rPr>
          <w:rFonts w:hint="eastAsia" w:ascii="宋体" w:hAnsi="宋体" w:cs="宋体"/>
          <w:bCs/>
          <w:color w:val="auto"/>
          <w:sz w:val="22"/>
          <w:szCs w:val="22"/>
          <w:highlight w:val="none"/>
        </w:rPr>
        <w:t>开户名称：浙江信诚项目管理有限公司</w:t>
      </w:r>
    </w:p>
    <w:p>
      <w:pPr>
        <w:ind w:firstLine="550" w:firstLineChars="250"/>
        <w:rPr>
          <w:rFonts w:ascii="宋体" w:hAnsi="宋体" w:cs="宋体"/>
          <w:bCs/>
          <w:color w:val="auto"/>
          <w:sz w:val="22"/>
          <w:szCs w:val="22"/>
          <w:highlight w:val="none"/>
        </w:rPr>
      </w:pPr>
      <w:r>
        <w:rPr>
          <w:rFonts w:hint="eastAsia" w:ascii="宋体" w:hAnsi="宋体" w:cs="宋体"/>
          <w:bCs/>
          <w:color w:val="auto"/>
          <w:sz w:val="22"/>
          <w:szCs w:val="22"/>
          <w:highlight w:val="none"/>
        </w:rPr>
        <w:t>开户帐号：8110801012801551894</w:t>
      </w:r>
    </w:p>
    <w:p>
      <w:pPr>
        <w:pStyle w:val="2"/>
        <w:ind w:left="0" w:leftChars="0" w:firstLine="0" w:firstLineChars="0"/>
        <w:rPr>
          <w:color w:val="auto"/>
          <w:highlight w:val="none"/>
        </w:rPr>
      </w:pPr>
    </w:p>
    <w:p>
      <w:pPr>
        <w:spacing w:line="460" w:lineRule="exact"/>
        <w:ind w:firstLine="180" w:firstLineChars="50"/>
        <w:jc w:val="center"/>
        <w:rPr>
          <w:rFonts w:ascii="宋体" w:hAnsi="宋体" w:cs="宋体"/>
          <w:color w:val="auto"/>
          <w:sz w:val="36"/>
          <w:szCs w:val="36"/>
          <w:highlight w:val="none"/>
        </w:rPr>
      </w:pPr>
      <w:r>
        <w:rPr>
          <w:rFonts w:hint="eastAsia" w:ascii="宋体" w:hAnsi="宋体" w:cs="宋体"/>
          <w:color w:val="auto"/>
          <w:sz w:val="36"/>
          <w:szCs w:val="36"/>
          <w:highlight w:val="none"/>
        </w:rPr>
        <w:br w:type="page"/>
      </w:r>
      <w:bookmarkStart w:id="170" w:name="_Toc491780524"/>
      <w:r>
        <w:rPr>
          <w:rFonts w:hint="eastAsia" w:ascii="宋体" w:hAnsi="宋体" w:cs="宋体"/>
          <w:color w:val="auto"/>
          <w:sz w:val="36"/>
          <w:szCs w:val="36"/>
          <w:highlight w:val="none"/>
        </w:rPr>
        <w:t xml:space="preserve">第二部分 </w:t>
      </w:r>
      <w:bookmarkEnd w:id="170"/>
      <w:r>
        <w:rPr>
          <w:rFonts w:hint="eastAsia" w:ascii="宋体" w:hAnsi="宋体" w:cs="宋体"/>
          <w:color w:val="auto"/>
          <w:sz w:val="36"/>
          <w:szCs w:val="36"/>
          <w:highlight w:val="none"/>
        </w:rPr>
        <w:t>合同主要条款</w:t>
      </w:r>
    </w:p>
    <w:bookmarkEnd w:id="160"/>
    <w:bookmarkEnd w:id="161"/>
    <w:bookmarkEnd w:id="162"/>
    <w:bookmarkEnd w:id="163"/>
    <w:bookmarkEnd w:id="164"/>
    <w:bookmarkEnd w:id="165"/>
    <w:bookmarkEnd w:id="166"/>
    <w:bookmarkEnd w:id="167"/>
    <w:bookmarkEnd w:id="168"/>
    <w:bookmarkEnd w:id="169"/>
    <w:p>
      <w:pPr>
        <w:pStyle w:val="3"/>
        <w:tabs>
          <w:tab w:val="left" w:pos="840"/>
        </w:tabs>
        <w:rPr>
          <w:rFonts w:hAnsi="宋体"/>
          <w:color w:val="auto"/>
          <w:sz w:val="32"/>
          <w:szCs w:val="32"/>
          <w:highlight w:val="none"/>
        </w:rPr>
      </w:pPr>
      <w:bookmarkStart w:id="171" w:name="_Toc511308237"/>
      <w:bookmarkStart w:id="172" w:name="_Toc227056853"/>
      <w:bookmarkStart w:id="173" w:name="_Toc239781944"/>
      <w:bookmarkStart w:id="174" w:name="_Toc216667827"/>
      <w:bookmarkStart w:id="175" w:name="_Toc218041733"/>
      <w:bookmarkStart w:id="176" w:name="_Toc227057040"/>
      <w:bookmarkStart w:id="177" w:name="_Toc271029341"/>
      <w:bookmarkStart w:id="178" w:name="_Toc215415537"/>
      <w:bookmarkStart w:id="179" w:name="_Toc219538620"/>
      <w:bookmarkStart w:id="180" w:name="_Toc223717611"/>
      <w:bookmarkStart w:id="181" w:name="_Toc227489894"/>
      <w:bookmarkStart w:id="182" w:name="_Toc217460692"/>
      <w:bookmarkStart w:id="183" w:name="_Toc223933228"/>
      <w:bookmarkStart w:id="184" w:name="_Toc223933229"/>
      <w:bookmarkStart w:id="185" w:name="_Toc219538621"/>
      <w:bookmarkStart w:id="186" w:name="_Toc218041734"/>
      <w:bookmarkStart w:id="187" w:name="_Toc217460693"/>
      <w:bookmarkStart w:id="188" w:name="_Toc227489895"/>
      <w:bookmarkStart w:id="189" w:name="_Toc227056854"/>
      <w:bookmarkStart w:id="190" w:name="_Toc227057041"/>
      <w:bookmarkStart w:id="191" w:name="_Toc223717612"/>
      <w:bookmarkStart w:id="192" w:name="_Toc215415538"/>
      <w:bookmarkStart w:id="193" w:name="_Toc216667828"/>
      <w:r>
        <w:rPr>
          <w:rFonts w:hint="eastAsia" w:hAnsi="宋体"/>
          <w:color w:val="auto"/>
          <w:sz w:val="32"/>
          <w:szCs w:val="32"/>
          <w:highlight w:val="none"/>
        </w:rPr>
        <w:t>（一）合同格式</w:t>
      </w:r>
      <w:bookmarkEnd w:id="171"/>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u w:val="single"/>
        </w:rPr>
        <w:t>温州快鹿集团公司</w:t>
      </w:r>
      <w:r>
        <w:rPr>
          <w:rFonts w:hint="eastAsia" w:ascii="宋体" w:hAnsi="宋体"/>
          <w:color w:val="auto"/>
          <w:sz w:val="22"/>
          <w:szCs w:val="22"/>
          <w:highlight w:val="none"/>
        </w:rPr>
        <w:t>采购的</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（项目名称、项目编号）在国内公开招标，经评标委员会决标</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为中标人。买、卖双方同意按照下面条款和条件，签署本合同。</w:t>
      </w:r>
    </w:p>
    <w:p>
      <w:pPr>
        <w:spacing w:line="400" w:lineRule="exact"/>
        <w:ind w:firstLine="433" w:firstLineChars="196"/>
        <w:rPr>
          <w:rFonts w:ascii="宋体" w:hAnsi="宋体"/>
          <w:b/>
          <w:bCs/>
          <w:color w:val="auto"/>
          <w:sz w:val="22"/>
          <w:szCs w:val="22"/>
          <w:highlight w:val="none"/>
        </w:rPr>
      </w:pPr>
      <w:r>
        <w:rPr>
          <w:rFonts w:hint="eastAsia" w:ascii="宋体" w:hAnsi="宋体"/>
          <w:b/>
          <w:bCs/>
          <w:color w:val="auto"/>
          <w:sz w:val="22"/>
          <w:szCs w:val="22"/>
          <w:highlight w:val="none"/>
        </w:rPr>
        <w:t>1． 合同文件</w:t>
      </w:r>
    </w:p>
    <w:p>
      <w:pPr>
        <w:spacing w:line="40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下列文件构成本合同的组成部分：</w:t>
      </w:r>
    </w:p>
    <w:p>
      <w:pPr>
        <w:spacing w:line="40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（1）合同通用条款及特殊条款</w:t>
      </w:r>
    </w:p>
    <w:p>
      <w:pPr>
        <w:spacing w:line="40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（2）中标通知书</w:t>
      </w:r>
    </w:p>
    <w:p>
      <w:pPr>
        <w:spacing w:line="40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（3）投标分项报价表</w:t>
      </w:r>
    </w:p>
    <w:p>
      <w:pPr>
        <w:spacing w:line="40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（4）技术规格、商务条款偏离表</w:t>
      </w:r>
    </w:p>
    <w:p>
      <w:pPr>
        <w:spacing w:line="40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（5）投标技术和服务响应方案</w:t>
      </w:r>
    </w:p>
    <w:p>
      <w:pPr>
        <w:spacing w:line="40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（6）合同补充条款或说明（如有的话）</w:t>
      </w:r>
    </w:p>
    <w:p>
      <w:pPr>
        <w:spacing w:line="40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（7）履约保证金</w:t>
      </w:r>
    </w:p>
    <w:p>
      <w:pPr>
        <w:spacing w:line="40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（8）承诺书（含询标记录和优惠条件）</w:t>
      </w:r>
    </w:p>
    <w:p>
      <w:pPr>
        <w:tabs>
          <w:tab w:val="left" w:pos="540"/>
        </w:tabs>
        <w:spacing w:line="400" w:lineRule="exact"/>
        <w:ind w:firstLine="397"/>
        <w:rPr>
          <w:rFonts w:ascii="宋体" w:hAnsi="宋体"/>
          <w:b/>
          <w:bCs/>
          <w:color w:val="auto"/>
          <w:sz w:val="22"/>
          <w:szCs w:val="22"/>
          <w:highlight w:val="none"/>
        </w:rPr>
      </w:pPr>
      <w:r>
        <w:rPr>
          <w:rFonts w:hint="eastAsia" w:ascii="宋体" w:hAnsi="宋体"/>
          <w:b/>
          <w:bCs/>
          <w:color w:val="auto"/>
          <w:sz w:val="22"/>
          <w:szCs w:val="22"/>
          <w:highlight w:val="none"/>
        </w:rPr>
        <w:t>2． 合同范围和条件</w:t>
      </w:r>
    </w:p>
    <w:p>
      <w:pPr>
        <w:tabs>
          <w:tab w:val="left" w:pos="540"/>
        </w:tabs>
        <w:spacing w:line="400" w:lineRule="exact"/>
        <w:ind w:firstLine="827" w:firstLineChars="376"/>
        <w:rPr>
          <w:rFonts w:ascii="宋体" w:hAnsi="宋体"/>
          <w:b/>
          <w:bCs/>
          <w:color w:val="auto"/>
          <w:sz w:val="22"/>
          <w:szCs w:val="22"/>
          <w:highlight w:val="none"/>
        </w:rPr>
      </w:pPr>
      <w:r>
        <w:rPr>
          <w:rFonts w:hint="eastAsia" w:ascii="宋体" w:hAnsi="宋体"/>
          <w:color w:val="auto"/>
          <w:sz w:val="22"/>
          <w:szCs w:val="22"/>
          <w:highlight w:val="none"/>
        </w:rPr>
        <w:t>本合同范围和条件应与上述合同文件规定的内容相一致。</w:t>
      </w:r>
    </w:p>
    <w:p>
      <w:pPr>
        <w:spacing w:line="400" w:lineRule="exact"/>
        <w:ind w:firstLine="435"/>
        <w:rPr>
          <w:rFonts w:ascii="宋体" w:hAnsi="宋体"/>
          <w:b/>
          <w:bCs/>
          <w:color w:val="auto"/>
          <w:sz w:val="22"/>
          <w:szCs w:val="22"/>
          <w:highlight w:val="none"/>
        </w:rPr>
      </w:pPr>
      <w:r>
        <w:rPr>
          <w:rFonts w:hint="eastAsia" w:ascii="宋体" w:hAnsi="宋体"/>
          <w:b/>
          <w:bCs/>
          <w:color w:val="auto"/>
          <w:sz w:val="22"/>
          <w:szCs w:val="22"/>
          <w:highlight w:val="none"/>
        </w:rPr>
        <w:t>3． 货物和数量</w:t>
      </w:r>
    </w:p>
    <w:p>
      <w:pPr>
        <w:spacing w:line="400" w:lineRule="exact"/>
        <w:ind w:firstLine="567"/>
        <w:rPr>
          <w:rFonts w:ascii="宋体" w:hAnsi="宋体"/>
          <w:color w:val="auto"/>
          <w:sz w:val="22"/>
          <w:szCs w:val="22"/>
          <w:highlight w:val="none"/>
        </w:rPr>
      </w:pPr>
      <w:r>
        <w:rPr>
          <w:rFonts w:hint="eastAsia" w:ascii="宋体" w:hAnsi="宋体"/>
          <w:color w:val="auto"/>
          <w:sz w:val="22"/>
          <w:szCs w:val="22"/>
          <w:highlight w:val="none"/>
        </w:rPr>
        <w:t xml:space="preserve">   本合同提供的货物、数量和服务及要求（详见第四部分采购内容及要求）。</w:t>
      </w:r>
    </w:p>
    <w:p>
      <w:pPr>
        <w:spacing w:line="400" w:lineRule="exact"/>
        <w:ind w:firstLine="435"/>
        <w:rPr>
          <w:rFonts w:ascii="宋体" w:hAnsi="宋体"/>
          <w:b/>
          <w:bCs/>
          <w:color w:val="auto"/>
          <w:sz w:val="22"/>
          <w:szCs w:val="22"/>
          <w:highlight w:val="none"/>
        </w:rPr>
      </w:pPr>
      <w:r>
        <w:rPr>
          <w:rFonts w:hint="eastAsia" w:ascii="宋体" w:hAnsi="宋体"/>
          <w:b/>
          <w:bCs/>
          <w:color w:val="auto"/>
          <w:sz w:val="22"/>
          <w:szCs w:val="22"/>
          <w:highlight w:val="none"/>
        </w:rPr>
        <w:t>4． 合同总价</w:t>
      </w:r>
    </w:p>
    <w:p>
      <w:pPr>
        <w:spacing w:line="400" w:lineRule="exact"/>
        <w:ind w:firstLine="880" w:firstLineChars="400"/>
        <w:rPr>
          <w:rFonts w:ascii="宋体" w:hAnsi="宋体"/>
          <w:color w:val="auto"/>
          <w:sz w:val="22"/>
          <w:szCs w:val="22"/>
          <w:highlight w:val="none"/>
        </w:rPr>
      </w:pPr>
      <w:r>
        <w:rPr>
          <w:rFonts w:hint="eastAsia" w:ascii="宋体" w:hAnsi="宋体"/>
          <w:color w:val="auto"/>
          <w:sz w:val="22"/>
          <w:szCs w:val="22"/>
          <w:highlight w:val="none"/>
        </w:rPr>
        <w:t>本合同总价为</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元人民币。（分项价格详见投标分项报价表）</w:t>
      </w:r>
    </w:p>
    <w:p>
      <w:pPr>
        <w:spacing w:line="400" w:lineRule="exact"/>
        <w:ind w:firstLine="435"/>
        <w:rPr>
          <w:rFonts w:ascii="宋体" w:hAnsi="宋体"/>
          <w:color w:val="auto"/>
          <w:sz w:val="22"/>
          <w:szCs w:val="22"/>
          <w:highlight w:val="none"/>
        </w:rPr>
      </w:pPr>
      <w:r>
        <w:rPr>
          <w:rFonts w:hint="eastAsia" w:ascii="宋体" w:hAnsi="宋体"/>
          <w:b/>
          <w:bCs/>
          <w:color w:val="auto"/>
          <w:sz w:val="22"/>
          <w:szCs w:val="22"/>
          <w:highlight w:val="none"/>
        </w:rPr>
        <w:t>5．</w:t>
      </w:r>
      <w:r>
        <w:rPr>
          <w:rFonts w:ascii="宋体" w:hAnsi="宋体" w:cs="Arial"/>
          <w:b/>
          <w:bCs/>
          <w:color w:val="auto"/>
          <w:szCs w:val="21"/>
          <w:highlight w:val="none"/>
        </w:rPr>
        <w:t>付款方式、交货时间及地点</w:t>
      </w:r>
      <w:r>
        <w:rPr>
          <w:rFonts w:hint="eastAsia" w:ascii="宋体" w:hAnsi="宋体"/>
          <w:color w:val="auto"/>
          <w:sz w:val="22"/>
          <w:szCs w:val="22"/>
          <w:highlight w:val="none"/>
        </w:rPr>
        <w:t xml:space="preserve">   </w:t>
      </w:r>
    </w:p>
    <w:p>
      <w:pPr>
        <w:spacing w:line="400" w:lineRule="exact"/>
        <w:ind w:firstLine="880" w:firstLineChars="400"/>
        <w:rPr>
          <w:rFonts w:ascii="宋体" w:hAnsi="宋体"/>
          <w:color w:val="auto"/>
          <w:sz w:val="22"/>
          <w:szCs w:val="22"/>
          <w:highlight w:val="none"/>
        </w:rPr>
      </w:pPr>
      <w:r>
        <w:rPr>
          <w:rFonts w:ascii="宋体" w:hAnsi="宋体"/>
          <w:color w:val="auto"/>
          <w:sz w:val="22"/>
          <w:szCs w:val="22"/>
          <w:highlight w:val="none"/>
        </w:rPr>
        <w:t>本合同的付款方式、交货时间及地点在合同</w:t>
      </w:r>
      <w:r>
        <w:rPr>
          <w:rFonts w:hint="eastAsia" w:ascii="宋体" w:hAnsi="宋体"/>
          <w:color w:val="auto"/>
          <w:sz w:val="22"/>
          <w:szCs w:val="22"/>
          <w:highlight w:val="none"/>
        </w:rPr>
        <w:t>主要</w:t>
      </w:r>
      <w:r>
        <w:rPr>
          <w:rFonts w:ascii="宋体" w:hAnsi="宋体"/>
          <w:color w:val="auto"/>
          <w:sz w:val="22"/>
          <w:szCs w:val="22"/>
          <w:highlight w:val="none"/>
        </w:rPr>
        <w:t>条款中已规定。</w:t>
      </w:r>
    </w:p>
    <w:p>
      <w:pPr>
        <w:spacing w:line="400" w:lineRule="exact"/>
        <w:ind w:firstLine="442" w:firstLineChars="200"/>
        <w:rPr>
          <w:rFonts w:ascii="宋体" w:hAnsi="宋体"/>
          <w:b/>
          <w:bCs/>
          <w:color w:val="auto"/>
          <w:sz w:val="22"/>
          <w:szCs w:val="22"/>
          <w:highlight w:val="none"/>
        </w:rPr>
      </w:pPr>
      <w:r>
        <w:rPr>
          <w:rFonts w:hint="eastAsia" w:ascii="宋体" w:hAnsi="宋体"/>
          <w:b/>
          <w:bCs/>
          <w:color w:val="auto"/>
          <w:sz w:val="22"/>
          <w:szCs w:val="22"/>
          <w:highlight w:val="none"/>
        </w:rPr>
        <w:t>6． 合同生效</w:t>
      </w:r>
    </w:p>
    <w:p>
      <w:pPr>
        <w:spacing w:line="400" w:lineRule="exact"/>
        <w:ind w:firstLine="110" w:firstLineChars="50"/>
        <w:rPr>
          <w:rFonts w:ascii="宋体" w:hAnsi="宋体"/>
          <w:color w:val="auto"/>
          <w:sz w:val="22"/>
          <w:szCs w:val="22"/>
          <w:highlight w:val="none"/>
        </w:rPr>
      </w:pPr>
      <w:r>
        <w:rPr>
          <w:rFonts w:hint="eastAsia" w:ascii="宋体" w:hAnsi="宋体"/>
          <w:color w:val="auto"/>
          <w:sz w:val="22"/>
          <w:szCs w:val="22"/>
          <w:highlight w:val="none"/>
        </w:rPr>
        <w:t xml:space="preserve">       本合同经双方授权代表签署，甲乙双方加盖印章后生效。</w:t>
      </w:r>
    </w:p>
    <w:p>
      <w:pPr>
        <w:spacing w:line="400" w:lineRule="exact"/>
        <w:ind w:firstLine="880" w:firstLineChars="400"/>
        <w:rPr>
          <w:rFonts w:ascii="宋体" w:hAnsi="宋体"/>
          <w:color w:val="auto"/>
          <w:sz w:val="22"/>
          <w:szCs w:val="22"/>
          <w:highlight w:val="none"/>
        </w:rPr>
      </w:pPr>
      <w:r>
        <w:rPr>
          <w:rFonts w:hint="eastAsia" w:ascii="宋体" w:hAnsi="宋体"/>
          <w:color w:val="auto"/>
          <w:sz w:val="22"/>
          <w:szCs w:val="22"/>
          <w:highlight w:val="none"/>
        </w:rPr>
        <w:t>甲方：（印章）                        乙方：（印章）</w:t>
      </w:r>
    </w:p>
    <w:p>
      <w:pPr>
        <w:spacing w:line="400" w:lineRule="exact"/>
        <w:rPr>
          <w:rFonts w:ascii="宋体" w:hAnsi="宋体"/>
          <w:color w:val="auto"/>
          <w:sz w:val="22"/>
          <w:szCs w:val="22"/>
          <w:highlight w:val="none"/>
        </w:rPr>
      </w:pPr>
      <w:r>
        <w:rPr>
          <w:rFonts w:hint="eastAsia" w:ascii="宋体" w:hAnsi="宋体"/>
          <w:color w:val="auto"/>
          <w:sz w:val="22"/>
          <w:szCs w:val="22"/>
          <w:highlight w:val="none"/>
        </w:rPr>
        <w:t xml:space="preserve">        全权代表:（签字）                    全权代表:（签字）</w:t>
      </w:r>
    </w:p>
    <w:p>
      <w:pPr>
        <w:spacing w:line="400" w:lineRule="exact"/>
        <w:ind w:firstLine="880" w:firstLineChars="400"/>
        <w:rPr>
          <w:rFonts w:ascii="宋体" w:hAnsi="宋体"/>
          <w:color w:val="auto"/>
          <w:sz w:val="22"/>
          <w:szCs w:val="22"/>
          <w:highlight w:val="none"/>
        </w:rPr>
      </w:pPr>
      <w:r>
        <w:rPr>
          <w:rFonts w:hint="eastAsia" w:ascii="宋体" w:hAnsi="宋体"/>
          <w:color w:val="auto"/>
          <w:sz w:val="22"/>
          <w:szCs w:val="22"/>
          <w:highlight w:val="none"/>
        </w:rPr>
        <w:t>地址：                               地址：</w:t>
      </w:r>
    </w:p>
    <w:p>
      <w:pPr>
        <w:spacing w:line="400" w:lineRule="exact"/>
        <w:ind w:firstLine="880" w:firstLineChars="400"/>
        <w:rPr>
          <w:rFonts w:ascii="宋体" w:hAnsi="宋体"/>
          <w:color w:val="auto"/>
          <w:sz w:val="22"/>
          <w:szCs w:val="22"/>
          <w:highlight w:val="none"/>
        </w:rPr>
      </w:pPr>
      <w:r>
        <w:rPr>
          <w:rFonts w:hint="eastAsia" w:ascii="宋体" w:hAnsi="宋体"/>
          <w:color w:val="auto"/>
          <w:sz w:val="22"/>
          <w:szCs w:val="22"/>
          <w:highlight w:val="none"/>
        </w:rPr>
        <w:t>邮政编码：                           邮政编码：</w:t>
      </w:r>
    </w:p>
    <w:p>
      <w:pPr>
        <w:spacing w:line="400" w:lineRule="exact"/>
        <w:ind w:firstLine="880" w:firstLineChars="400"/>
        <w:rPr>
          <w:rFonts w:ascii="宋体" w:hAnsi="宋体"/>
          <w:color w:val="auto"/>
          <w:sz w:val="22"/>
          <w:szCs w:val="22"/>
          <w:highlight w:val="none"/>
        </w:rPr>
      </w:pPr>
      <w:r>
        <w:rPr>
          <w:rFonts w:hint="eastAsia" w:ascii="宋体" w:hAnsi="宋体"/>
          <w:color w:val="auto"/>
          <w:sz w:val="22"/>
          <w:szCs w:val="22"/>
          <w:highlight w:val="none"/>
        </w:rPr>
        <w:t>电话：                               电话：</w:t>
      </w:r>
    </w:p>
    <w:p>
      <w:pPr>
        <w:spacing w:line="400" w:lineRule="exact"/>
        <w:ind w:firstLine="880" w:firstLineChars="400"/>
        <w:rPr>
          <w:rFonts w:ascii="宋体" w:hAnsi="宋体"/>
          <w:color w:val="auto"/>
          <w:sz w:val="22"/>
          <w:szCs w:val="22"/>
          <w:highlight w:val="none"/>
        </w:rPr>
      </w:pPr>
      <w:r>
        <w:rPr>
          <w:rFonts w:hint="eastAsia" w:ascii="宋体" w:hAnsi="宋体"/>
          <w:color w:val="auto"/>
          <w:sz w:val="22"/>
          <w:szCs w:val="22"/>
          <w:highlight w:val="none"/>
        </w:rPr>
        <w:t>传真：                               传真：</w:t>
      </w:r>
    </w:p>
    <w:p>
      <w:pPr>
        <w:spacing w:line="400" w:lineRule="exact"/>
        <w:ind w:firstLine="880" w:firstLineChars="400"/>
        <w:rPr>
          <w:rFonts w:ascii="宋体" w:hAnsi="宋体"/>
          <w:color w:val="auto"/>
          <w:sz w:val="22"/>
          <w:szCs w:val="22"/>
          <w:highlight w:val="none"/>
        </w:rPr>
      </w:pPr>
      <w:r>
        <w:rPr>
          <w:rFonts w:hint="eastAsia" w:ascii="宋体" w:hAnsi="宋体"/>
          <w:color w:val="auto"/>
          <w:sz w:val="22"/>
          <w:szCs w:val="22"/>
          <w:highlight w:val="none"/>
        </w:rPr>
        <w:t>开户银行：                           开户银行：</w:t>
      </w:r>
    </w:p>
    <w:p>
      <w:pPr>
        <w:spacing w:line="400" w:lineRule="exact"/>
        <w:ind w:firstLine="880" w:firstLineChars="400"/>
        <w:rPr>
          <w:rFonts w:ascii="宋体" w:hAnsi="宋体"/>
          <w:color w:val="auto"/>
          <w:sz w:val="22"/>
          <w:szCs w:val="22"/>
          <w:highlight w:val="none"/>
        </w:rPr>
      </w:pPr>
      <w:r>
        <w:rPr>
          <w:rFonts w:hint="eastAsia" w:ascii="宋体" w:hAnsi="宋体"/>
          <w:color w:val="auto"/>
          <w:sz w:val="22"/>
          <w:szCs w:val="22"/>
          <w:highlight w:val="none"/>
        </w:rPr>
        <w:t>帐号：                               帐号：</w:t>
      </w:r>
    </w:p>
    <w:p>
      <w:pPr>
        <w:spacing w:line="400" w:lineRule="exact"/>
        <w:ind w:firstLine="2891" w:firstLineChars="900"/>
        <w:rPr>
          <w:rFonts w:ascii="宋体" w:hAnsi="宋体"/>
          <w:b/>
          <w:color w:val="auto"/>
          <w:sz w:val="32"/>
          <w:szCs w:val="32"/>
          <w:highlight w:val="none"/>
        </w:rPr>
      </w:pPr>
    </w:p>
    <w:p>
      <w:pPr>
        <w:spacing w:line="400" w:lineRule="exact"/>
        <w:ind w:firstLine="2891" w:firstLineChars="900"/>
        <w:rPr>
          <w:rFonts w:ascii="宋体" w:hAnsi="宋体"/>
          <w:b/>
          <w:color w:val="auto"/>
          <w:sz w:val="32"/>
          <w:szCs w:val="32"/>
          <w:highlight w:val="none"/>
        </w:rPr>
      </w:pPr>
    </w:p>
    <w:p>
      <w:pPr>
        <w:pStyle w:val="2"/>
        <w:rPr>
          <w:color w:val="auto"/>
          <w:highlight w:val="none"/>
        </w:rPr>
      </w:pPr>
    </w:p>
    <w:p>
      <w:pPr>
        <w:spacing w:line="400" w:lineRule="exact"/>
        <w:ind w:firstLine="2891" w:firstLineChars="900"/>
        <w:rPr>
          <w:rFonts w:ascii="宋体" w:hAnsi="宋体"/>
          <w:b/>
          <w:color w:val="auto"/>
          <w:sz w:val="32"/>
          <w:szCs w:val="32"/>
          <w:highlight w:val="none"/>
        </w:rPr>
      </w:pPr>
    </w:p>
    <w:p>
      <w:pPr>
        <w:spacing w:line="400" w:lineRule="exact"/>
        <w:ind w:firstLine="2891" w:firstLineChars="900"/>
        <w:rPr>
          <w:rFonts w:ascii="宋体" w:hAnsi="宋体"/>
          <w:b/>
          <w:color w:val="auto"/>
          <w:sz w:val="32"/>
          <w:szCs w:val="32"/>
          <w:highlight w:val="none"/>
        </w:rPr>
      </w:pPr>
      <w:r>
        <w:rPr>
          <w:rFonts w:hint="eastAsia" w:ascii="宋体" w:hAnsi="宋体"/>
          <w:b/>
          <w:color w:val="auto"/>
          <w:sz w:val="32"/>
          <w:szCs w:val="32"/>
          <w:highlight w:val="none"/>
        </w:rPr>
        <w:t>（二）合同主要条款</w:t>
      </w:r>
    </w:p>
    <w:p>
      <w:pPr>
        <w:pStyle w:val="14"/>
        <w:snapToGrid w:val="0"/>
        <w:spacing w:line="360" w:lineRule="auto"/>
        <w:ind w:right="420"/>
        <w:rPr>
          <w:rFonts w:hAnsi="宋体" w:cs="Arial"/>
          <w:color w:val="auto"/>
          <w:highlight w:val="none"/>
        </w:rPr>
      </w:pPr>
    </w:p>
    <w:p>
      <w:pPr>
        <w:pStyle w:val="14"/>
        <w:snapToGrid w:val="0"/>
        <w:spacing w:line="360" w:lineRule="auto"/>
        <w:ind w:right="420"/>
        <w:rPr>
          <w:rFonts w:hAnsi="宋体" w:cs="Arial"/>
          <w:color w:val="auto"/>
          <w:highlight w:val="none"/>
        </w:rPr>
      </w:pPr>
      <w:r>
        <w:rPr>
          <w:rFonts w:hAnsi="宋体" w:cs="Arial"/>
          <w:color w:val="auto"/>
          <w:highlight w:val="none"/>
        </w:rPr>
        <w:t>甲方（需求方）：</w:t>
      </w:r>
    </w:p>
    <w:p>
      <w:pPr>
        <w:pStyle w:val="14"/>
        <w:snapToGrid w:val="0"/>
        <w:spacing w:line="360" w:lineRule="auto"/>
        <w:rPr>
          <w:rFonts w:hAnsi="宋体" w:cs="Arial"/>
          <w:color w:val="auto"/>
          <w:highlight w:val="none"/>
        </w:rPr>
      </w:pPr>
      <w:r>
        <w:rPr>
          <w:rFonts w:hAnsi="宋体" w:cs="Arial"/>
          <w:color w:val="auto"/>
          <w:highlight w:val="none"/>
        </w:rPr>
        <w:t>乙方（承包方）：</w:t>
      </w:r>
    </w:p>
    <w:p>
      <w:pPr>
        <w:tabs>
          <w:tab w:val="left" w:pos="840"/>
        </w:tabs>
        <w:spacing w:line="400" w:lineRule="exact"/>
        <w:ind w:firstLine="420" w:firstLineChars="200"/>
        <w:rPr>
          <w:rFonts w:ascii="宋体" w:hAnsi="宋体" w:cs="Arial"/>
          <w:color w:val="auto"/>
          <w:highlight w:val="none"/>
        </w:rPr>
      </w:pPr>
      <w:r>
        <w:rPr>
          <w:rFonts w:ascii="宋体" w:hAnsi="宋体" w:cs="Arial"/>
          <w:color w:val="auto"/>
          <w:highlight w:val="none"/>
        </w:rPr>
        <w:t>根据《中华人民共和国</w:t>
      </w:r>
      <w:r>
        <w:rPr>
          <w:rFonts w:hint="eastAsia" w:ascii="宋体" w:hAnsi="宋体" w:cs="Arial"/>
          <w:color w:val="auto"/>
          <w:highlight w:val="none"/>
        </w:rPr>
        <w:t>民法典</w:t>
      </w:r>
      <w:r>
        <w:rPr>
          <w:rFonts w:ascii="宋体" w:hAnsi="宋体" w:cs="Arial"/>
          <w:color w:val="auto"/>
          <w:highlight w:val="none"/>
        </w:rPr>
        <w:t>》及</w:t>
      </w:r>
      <w:r>
        <w:rPr>
          <w:rFonts w:ascii="宋体" w:hAnsi="宋体" w:cs="Arial"/>
          <w:color w:val="auto"/>
          <w:highlight w:val="none"/>
          <w:u w:val="single"/>
        </w:rPr>
        <w:t xml:space="preserve">                  </w:t>
      </w:r>
      <w:r>
        <w:rPr>
          <w:rFonts w:ascii="宋体" w:hAnsi="宋体" w:cs="Arial"/>
          <w:color w:val="auto"/>
          <w:highlight w:val="none"/>
        </w:rPr>
        <w:t>的</w:t>
      </w:r>
      <w:r>
        <w:rPr>
          <w:rFonts w:hint="eastAsia" w:ascii="宋体" w:hAnsi="宋体" w:cs="Arial"/>
          <w:color w:val="auto"/>
          <w:highlight w:val="none"/>
        </w:rPr>
        <w:t>采购</w:t>
      </w:r>
      <w:r>
        <w:rPr>
          <w:rFonts w:ascii="宋体" w:hAnsi="宋体" w:cs="Arial"/>
          <w:color w:val="auto"/>
          <w:highlight w:val="none"/>
        </w:rPr>
        <w:t>文件（项目编号：</w:t>
      </w:r>
      <w:r>
        <w:rPr>
          <w:rFonts w:ascii="宋体" w:hAnsi="宋体" w:cs="Arial"/>
          <w:color w:val="auto"/>
          <w:highlight w:val="none"/>
          <w:u w:val="single"/>
        </w:rPr>
        <w:t xml:space="preserve">        </w:t>
      </w:r>
      <w:r>
        <w:rPr>
          <w:rFonts w:ascii="宋体" w:hAnsi="宋体" w:cs="Arial"/>
          <w:color w:val="auto"/>
          <w:highlight w:val="none"/>
        </w:rPr>
        <w:t>）和乙方</w:t>
      </w:r>
      <w:r>
        <w:rPr>
          <w:rFonts w:hint="eastAsia" w:ascii="宋体" w:hAnsi="宋体" w:cs="Arial"/>
          <w:color w:val="auto"/>
          <w:highlight w:val="none"/>
        </w:rPr>
        <w:t>投标</w:t>
      </w:r>
      <w:r>
        <w:rPr>
          <w:rFonts w:ascii="宋体" w:hAnsi="宋体" w:cs="Arial"/>
          <w:color w:val="auto"/>
          <w:highlight w:val="none"/>
        </w:rPr>
        <w:t>文件及承诺，就</w:t>
      </w:r>
      <w:r>
        <w:rPr>
          <w:rFonts w:ascii="宋体" w:hAnsi="宋体" w:cs="Arial"/>
          <w:color w:val="auto"/>
          <w:highlight w:val="none"/>
          <w:u w:val="single"/>
        </w:rPr>
        <w:t xml:space="preserve">                   </w:t>
      </w:r>
      <w:r>
        <w:rPr>
          <w:rFonts w:ascii="宋体" w:hAnsi="宋体" w:cs="Arial"/>
          <w:color w:val="auto"/>
          <w:highlight w:val="none"/>
        </w:rPr>
        <w:t>项目，经双方协商一致，订立本服务合同，共同遵守。</w:t>
      </w:r>
    </w:p>
    <w:p>
      <w:pPr>
        <w:tabs>
          <w:tab w:val="left" w:pos="840"/>
        </w:tabs>
        <w:spacing w:line="400" w:lineRule="exact"/>
        <w:ind w:firstLine="482" w:firstLineChars="200"/>
        <w:rPr>
          <w:rFonts w:ascii="宋体" w:hAnsi="宋体" w:cs="Tahoma"/>
          <w:b/>
          <w:color w:val="auto"/>
          <w:kern w:val="0"/>
          <w:sz w:val="24"/>
          <w:highlight w:val="none"/>
        </w:rPr>
      </w:pPr>
      <w:r>
        <w:rPr>
          <w:rFonts w:hint="eastAsia" w:ascii="宋体" w:hAnsi="宋体" w:cs="Tahoma"/>
          <w:b/>
          <w:color w:val="auto"/>
          <w:kern w:val="0"/>
          <w:sz w:val="24"/>
          <w:highlight w:val="none"/>
        </w:rPr>
        <w:t>第一条  承包范围</w:t>
      </w:r>
    </w:p>
    <w:p>
      <w:pPr>
        <w:tabs>
          <w:tab w:val="left" w:pos="840"/>
        </w:tabs>
        <w:spacing w:line="400" w:lineRule="exact"/>
        <w:ind w:firstLine="420" w:firstLineChars="200"/>
        <w:rPr>
          <w:rFonts w:ascii="宋体" w:hAnsi="宋体" w:cs="Tahoma"/>
          <w:color w:val="auto"/>
          <w:kern w:val="0"/>
          <w:szCs w:val="21"/>
          <w:highlight w:val="none"/>
        </w:rPr>
      </w:pPr>
      <w:r>
        <w:rPr>
          <w:rFonts w:hint="eastAsia" w:ascii="宋体" w:hAnsi="宋体" w:cs="Tahoma"/>
          <w:color w:val="auto"/>
          <w:kern w:val="0"/>
          <w:szCs w:val="21"/>
          <w:highlight w:val="none"/>
        </w:rPr>
        <w:t>1、根据甲方要求，</w:t>
      </w:r>
      <w:r>
        <w:rPr>
          <w:color w:val="auto"/>
          <w:highlight w:val="none"/>
        </w:rPr>
        <w:fldChar w:fldCharType="begin"/>
      </w:r>
      <w:r>
        <w:rPr>
          <w:color w:val="auto"/>
          <w:highlight w:val="none"/>
        </w:rPr>
        <w:instrText xml:space="preserve"> HYPERLINK "http://www.86exp.com/hetong/" </w:instrText>
      </w:r>
      <w:r>
        <w:rPr>
          <w:color w:val="auto"/>
          <w:highlight w:val="none"/>
        </w:rPr>
        <w:fldChar w:fldCharType="separate"/>
      </w:r>
      <w:r>
        <w:rPr>
          <w:rStyle w:val="25"/>
          <w:rFonts w:hint="eastAsia" w:ascii="宋体" w:hAnsi="宋体" w:cs="Tahoma"/>
          <w:color w:val="auto"/>
          <w:kern w:val="0"/>
          <w:szCs w:val="21"/>
          <w:highlight w:val="none"/>
          <w:u w:val="none"/>
        </w:rPr>
        <w:t>乙方</w:t>
      </w:r>
      <w:r>
        <w:rPr>
          <w:rStyle w:val="25"/>
          <w:rFonts w:hint="eastAsia" w:ascii="宋体" w:hAnsi="宋体" w:cs="Tahoma"/>
          <w:color w:val="auto"/>
          <w:kern w:val="0"/>
          <w:szCs w:val="21"/>
          <w:highlight w:val="none"/>
          <w:u w:val="none"/>
        </w:rPr>
        <w:fldChar w:fldCharType="end"/>
      </w:r>
      <w:r>
        <w:rPr>
          <w:rFonts w:hint="eastAsia" w:ascii="宋体" w:hAnsi="宋体" w:cs="Tahoma"/>
          <w:color w:val="auto"/>
          <w:kern w:val="0"/>
          <w:szCs w:val="21"/>
          <w:highlight w:val="none"/>
        </w:rPr>
        <w:t>指派保安人员向</w:t>
      </w:r>
      <w:r>
        <w:rPr>
          <w:color w:val="auto"/>
          <w:highlight w:val="none"/>
        </w:rPr>
        <w:fldChar w:fldCharType="begin"/>
      </w:r>
      <w:r>
        <w:rPr>
          <w:color w:val="auto"/>
          <w:highlight w:val="none"/>
        </w:rPr>
        <w:instrText xml:space="preserve"> HYPERLINK "http://www.86exp.com/hetong/" </w:instrText>
      </w:r>
      <w:r>
        <w:rPr>
          <w:color w:val="auto"/>
          <w:highlight w:val="none"/>
        </w:rPr>
        <w:fldChar w:fldCharType="separate"/>
      </w:r>
      <w:r>
        <w:rPr>
          <w:rStyle w:val="25"/>
          <w:rFonts w:hint="eastAsia" w:ascii="宋体" w:hAnsi="宋体" w:cs="Tahoma"/>
          <w:color w:val="auto"/>
          <w:kern w:val="0"/>
          <w:szCs w:val="21"/>
          <w:highlight w:val="none"/>
          <w:u w:val="none"/>
        </w:rPr>
        <w:t>甲方</w:t>
      </w:r>
      <w:r>
        <w:rPr>
          <w:rStyle w:val="25"/>
          <w:rFonts w:hint="eastAsia" w:ascii="宋体" w:hAnsi="宋体" w:cs="Tahoma"/>
          <w:color w:val="auto"/>
          <w:kern w:val="0"/>
          <w:szCs w:val="21"/>
          <w:highlight w:val="none"/>
          <w:u w:val="none"/>
        </w:rPr>
        <w:fldChar w:fldCharType="end"/>
      </w:r>
      <w:r>
        <w:rPr>
          <w:rFonts w:hint="eastAsia" w:ascii="宋体" w:hAnsi="宋体" w:cs="Tahoma"/>
          <w:color w:val="auto"/>
          <w:kern w:val="0"/>
          <w:szCs w:val="21"/>
          <w:highlight w:val="none"/>
        </w:rPr>
        <w:t>提供保安服务。双方确定保安员履行职责的工作范围为：承包区域内的保安管理服务，确保甲方单位正常的治安安全、消防安全、门岗及厂区秩序维护等服务。保安人员在上述工作范围内执行安全防范任务，确保甲方单位正常的安全秩序，同时对保安人员由甲乙双方实行双重管理。</w:t>
      </w:r>
    </w:p>
    <w:p>
      <w:pPr>
        <w:pStyle w:val="9"/>
        <w:ind w:firstLine="630" w:firstLineChars="300"/>
        <w:rPr>
          <w:rFonts w:ascii="宋体" w:hAnsi="宋体" w:cs="Tahoma"/>
          <w:color w:val="auto"/>
          <w:kern w:val="0"/>
          <w:szCs w:val="21"/>
          <w:highlight w:val="none"/>
        </w:rPr>
      </w:pPr>
      <w:r>
        <w:rPr>
          <w:rFonts w:hint="eastAsia"/>
          <w:color w:val="auto"/>
          <w:highlight w:val="none"/>
        </w:rPr>
        <w:t>2</w:t>
      </w:r>
      <w:r>
        <w:rPr>
          <w:rFonts w:hint="eastAsia"/>
          <w:color w:val="auto"/>
          <w:highlight w:val="none"/>
          <w:lang w:eastAsia="zh-CN"/>
        </w:rPr>
        <w:t>、</w:t>
      </w:r>
      <w:r>
        <w:rPr>
          <w:rFonts w:hint="eastAsia"/>
          <w:color w:val="auto"/>
          <w:highlight w:val="none"/>
        </w:rPr>
        <w:t>甲方有权单方调整人数及服务地点，乙方无异议并服从。</w:t>
      </w:r>
    </w:p>
    <w:p>
      <w:pPr>
        <w:widowControl/>
        <w:tabs>
          <w:tab w:val="left" w:pos="540"/>
        </w:tabs>
        <w:spacing w:line="440" w:lineRule="exact"/>
        <w:ind w:firstLine="540" w:firstLineChars="224"/>
        <w:jc w:val="left"/>
        <w:rPr>
          <w:rFonts w:ascii="宋体" w:hAnsi="宋体" w:cs="Tahoma"/>
          <w:b/>
          <w:color w:val="auto"/>
          <w:kern w:val="0"/>
          <w:sz w:val="24"/>
          <w:highlight w:val="none"/>
        </w:rPr>
      </w:pPr>
      <w:r>
        <w:rPr>
          <w:rFonts w:hint="eastAsia" w:ascii="宋体" w:hAnsi="宋体" w:cs="Tahoma"/>
          <w:b/>
          <w:color w:val="auto"/>
          <w:kern w:val="0"/>
          <w:sz w:val="24"/>
          <w:highlight w:val="none"/>
        </w:rPr>
        <w:t>第二条  承包期限</w:t>
      </w:r>
    </w:p>
    <w:p>
      <w:pPr>
        <w:widowControl/>
        <w:tabs>
          <w:tab w:val="left" w:pos="540"/>
        </w:tabs>
        <w:spacing w:line="440" w:lineRule="exact"/>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 xml:space="preserve">   本项目的合同期限为1年</w:t>
      </w:r>
      <w:r>
        <w:rPr>
          <w:rFonts w:hint="eastAsia" w:ascii="宋体" w:hAnsi="宋体" w:cs="Arial"/>
          <w:color w:val="auto"/>
          <w:szCs w:val="21"/>
          <w:highlight w:val="none"/>
          <w:lang w:eastAsia="zh-CN"/>
        </w:rPr>
        <w:t>，</w:t>
      </w:r>
      <w:r>
        <w:rPr>
          <w:rFonts w:hint="eastAsia" w:ascii="宋体" w:hAnsi="宋体" w:cs="Arial"/>
          <w:color w:val="auto"/>
          <w:szCs w:val="21"/>
          <w:highlight w:val="none"/>
          <w:lang w:val="en-US" w:eastAsia="zh-CN"/>
        </w:rPr>
        <w:t>从2021年10月28日至2022年10月27日止</w:t>
      </w:r>
      <w:r>
        <w:rPr>
          <w:rFonts w:hint="eastAsia" w:ascii="宋体" w:hAnsi="宋体" w:cs="Arial"/>
          <w:color w:val="auto"/>
          <w:szCs w:val="21"/>
          <w:highlight w:val="none"/>
        </w:rPr>
        <w:t>，采用1+1+1的模式；在通过甲方年度综合考核且综合考核成绩为优良（90分</w:t>
      </w:r>
      <w:r>
        <w:rPr>
          <w:rFonts w:hint="eastAsia" w:ascii="宋体" w:hAnsi="宋体" w:cs="Arial"/>
          <w:color w:val="auto"/>
          <w:szCs w:val="21"/>
          <w:highlight w:val="none"/>
          <w:lang w:val="en-US" w:eastAsia="zh-CN"/>
        </w:rPr>
        <w:t>（含）</w:t>
      </w:r>
      <w:r>
        <w:rPr>
          <w:rFonts w:hint="eastAsia" w:ascii="宋体" w:hAnsi="宋体" w:cs="Arial"/>
          <w:color w:val="auto"/>
          <w:szCs w:val="21"/>
          <w:highlight w:val="none"/>
        </w:rPr>
        <w:t>以上）的前提下，可续签下一年度服务合同，最多可续签二次。</w:t>
      </w:r>
      <w:r>
        <w:rPr>
          <w:rFonts w:hint="eastAsia" w:ascii="宋体" w:hAnsi="宋体" w:cs="仿宋"/>
          <w:color w:val="auto"/>
          <w:sz w:val="22"/>
          <w:szCs w:val="22"/>
          <w:highlight w:val="none"/>
        </w:rPr>
        <w:t>（</w:t>
      </w:r>
      <w:r>
        <w:rPr>
          <w:rFonts w:hint="eastAsia" w:ascii="宋体" w:hAnsi="宋体" w:cs="仿宋"/>
          <w:color w:val="auto"/>
          <w:sz w:val="22"/>
          <w:szCs w:val="22"/>
          <w:highlight w:val="none"/>
          <w:lang w:val="en-US" w:eastAsia="zh-CN"/>
        </w:rPr>
        <w:t>考核办法见</w:t>
      </w:r>
      <w:r>
        <w:rPr>
          <w:rFonts w:hint="eastAsia" w:ascii="宋体" w:hAnsi="宋体" w:eastAsia="宋体" w:cs="Tahoma"/>
          <w:color w:val="auto"/>
          <w:kern w:val="0"/>
          <w:szCs w:val="21"/>
          <w:highlight w:val="none"/>
        </w:rPr>
        <w:t>附表</w:t>
      </w:r>
      <w:r>
        <w:rPr>
          <w:rFonts w:hint="eastAsia" w:ascii="宋体" w:hAnsi="宋体" w:eastAsia="宋体" w:cs="Tahoma"/>
          <w:color w:val="auto"/>
          <w:kern w:val="0"/>
          <w:szCs w:val="21"/>
          <w:highlight w:val="none"/>
          <w:lang w:val="en-US" w:eastAsia="zh-CN"/>
        </w:rPr>
        <w:t>1《</w:t>
      </w:r>
      <w:r>
        <w:rPr>
          <w:rFonts w:hint="eastAsia" w:ascii="宋体" w:hAnsi="宋体" w:eastAsia="宋体" w:cs="Tahoma"/>
          <w:color w:val="auto"/>
          <w:kern w:val="0"/>
          <w:sz w:val="21"/>
          <w:szCs w:val="21"/>
          <w:highlight w:val="none"/>
        </w:rPr>
        <w:t>管理服务目标考核表</w:t>
      </w:r>
      <w:r>
        <w:rPr>
          <w:rFonts w:hint="eastAsia" w:ascii="宋体" w:hAnsi="宋体" w:eastAsia="宋体" w:cs="Tahoma"/>
          <w:color w:val="auto"/>
          <w:kern w:val="0"/>
          <w:sz w:val="21"/>
          <w:szCs w:val="21"/>
          <w:highlight w:val="none"/>
          <w:lang w:eastAsia="zh-CN"/>
        </w:rPr>
        <w:t>》</w:t>
      </w:r>
      <w:r>
        <w:rPr>
          <w:rFonts w:hint="eastAsia" w:ascii="宋体" w:hAnsi="宋体" w:eastAsia="宋体" w:cs="Tahoma"/>
          <w:color w:val="auto"/>
          <w:kern w:val="0"/>
          <w:sz w:val="21"/>
          <w:szCs w:val="21"/>
          <w:highlight w:val="none"/>
        </w:rPr>
        <w:t>）</w:t>
      </w:r>
    </w:p>
    <w:p>
      <w:pPr>
        <w:widowControl/>
        <w:tabs>
          <w:tab w:val="left" w:pos="540"/>
        </w:tabs>
        <w:spacing w:line="440" w:lineRule="exact"/>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2、</w:t>
      </w:r>
      <w:r>
        <w:rPr>
          <w:rFonts w:hint="eastAsia" w:ascii="宋体" w:hAnsi="宋体" w:cs="Tahoma"/>
          <w:color w:val="auto"/>
          <w:kern w:val="0"/>
          <w:szCs w:val="21"/>
          <w:highlight w:val="none"/>
        </w:rPr>
        <w:t>本年度合同</w:t>
      </w:r>
      <w:r>
        <w:rPr>
          <w:rFonts w:hint="eastAsia" w:ascii="宋体" w:hAnsi="宋体" w:cs="Arial"/>
          <w:color w:val="auto"/>
          <w:szCs w:val="21"/>
          <w:highlight w:val="none"/>
        </w:rPr>
        <w:t>期限</w:t>
      </w:r>
      <w:r>
        <w:rPr>
          <w:rFonts w:hint="eastAsia" w:ascii="宋体" w:hAnsi="宋体" w:cs="Tahoma"/>
          <w:color w:val="auto"/>
          <w:kern w:val="0"/>
          <w:szCs w:val="21"/>
          <w:highlight w:val="none"/>
        </w:rPr>
        <w:t>内，乙方在甲方月度考核中，出现三</w:t>
      </w:r>
      <w:r>
        <w:rPr>
          <w:rFonts w:hint="eastAsia" w:ascii="宋体" w:hAnsi="宋体" w:cs="Tahoma"/>
          <w:color w:val="auto"/>
          <w:kern w:val="0"/>
          <w:szCs w:val="21"/>
          <w:highlight w:val="none"/>
          <w:lang w:val="en-US" w:eastAsia="zh-CN"/>
        </w:rPr>
        <w:t>次</w:t>
      </w:r>
      <w:r>
        <w:rPr>
          <w:rFonts w:hint="eastAsia" w:ascii="宋体" w:hAnsi="宋体" w:cs="Tahoma"/>
          <w:color w:val="auto"/>
          <w:kern w:val="0"/>
          <w:szCs w:val="21"/>
          <w:highlight w:val="none"/>
        </w:rPr>
        <w:t>月度考核成绩在85分以下的，视为综合考核成绩不合格，自动取消下一年度续签合同资格；本年度合同</w:t>
      </w:r>
      <w:r>
        <w:rPr>
          <w:rFonts w:hint="eastAsia" w:ascii="宋体" w:hAnsi="宋体" w:cs="Arial"/>
          <w:color w:val="auto"/>
          <w:szCs w:val="21"/>
          <w:highlight w:val="none"/>
        </w:rPr>
        <w:t>期限</w:t>
      </w:r>
      <w:r>
        <w:rPr>
          <w:rFonts w:hint="eastAsia" w:ascii="宋体" w:hAnsi="宋体" w:cs="Tahoma"/>
          <w:color w:val="auto"/>
          <w:kern w:val="0"/>
          <w:szCs w:val="21"/>
          <w:highlight w:val="none"/>
        </w:rPr>
        <w:t>内，乙方在甲方月度考核中，出现五次月度考核成绩在90分以下的，视为综合考核成绩不合格，自动取消下一年度续签合同资格。</w:t>
      </w:r>
      <w:r>
        <w:rPr>
          <w:rFonts w:hint="eastAsia" w:ascii="宋体" w:hAnsi="宋体" w:cs="仿宋"/>
          <w:color w:val="auto"/>
          <w:sz w:val="22"/>
          <w:szCs w:val="22"/>
          <w:highlight w:val="none"/>
        </w:rPr>
        <w:t>（</w:t>
      </w:r>
      <w:r>
        <w:rPr>
          <w:rFonts w:hint="eastAsia" w:ascii="宋体" w:hAnsi="宋体" w:cs="仿宋"/>
          <w:color w:val="auto"/>
          <w:sz w:val="22"/>
          <w:szCs w:val="22"/>
          <w:highlight w:val="none"/>
          <w:lang w:val="en-US" w:eastAsia="zh-CN"/>
        </w:rPr>
        <w:t>考核办法见</w:t>
      </w:r>
      <w:r>
        <w:rPr>
          <w:rFonts w:hint="eastAsia" w:ascii="宋体" w:hAnsi="宋体" w:eastAsia="宋体" w:cs="Tahoma"/>
          <w:color w:val="auto"/>
          <w:kern w:val="0"/>
          <w:szCs w:val="21"/>
          <w:highlight w:val="none"/>
        </w:rPr>
        <w:t>附表</w:t>
      </w:r>
      <w:r>
        <w:rPr>
          <w:rFonts w:hint="eastAsia" w:ascii="宋体" w:hAnsi="宋体" w:eastAsia="宋体" w:cs="Tahoma"/>
          <w:color w:val="auto"/>
          <w:kern w:val="0"/>
          <w:szCs w:val="21"/>
          <w:highlight w:val="none"/>
          <w:lang w:val="en-US" w:eastAsia="zh-CN"/>
        </w:rPr>
        <w:t>1《</w:t>
      </w:r>
      <w:r>
        <w:rPr>
          <w:rFonts w:hint="eastAsia" w:ascii="宋体" w:hAnsi="宋体" w:eastAsia="宋体" w:cs="Tahoma"/>
          <w:color w:val="auto"/>
          <w:kern w:val="0"/>
          <w:sz w:val="21"/>
          <w:szCs w:val="21"/>
          <w:highlight w:val="none"/>
        </w:rPr>
        <w:t>管理服务目标考核表</w:t>
      </w:r>
      <w:r>
        <w:rPr>
          <w:rFonts w:hint="eastAsia" w:ascii="宋体" w:hAnsi="宋体" w:eastAsia="宋体" w:cs="Tahoma"/>
          <w:color w:val="auto"/>
          <w:kern w:val="0"/>
          <w:sz w:val="21"/>
          <w:szCs w:val="21"/>
          <w:highlight w:val="none"/>
          <w:lang w:eastAsia="zh-CN"/>
        </w:rPr>
        <w:t>》</w:t>
      </w:r>
      <w:r>
        <w:rPr>
          <w:rFonts w:hint="eastAsia" w:ascii="宋体" w:hAnsi="宋体" w:eastAsia="宋体" w:cs="Tahoma"/>
          <w:color w:val="auto"/>
          <w:kern w:val="0"/>
          <w:sz w:val="21"/>
          <w:szCs w:val="21"/>
          <w:highlight w:val="none"/>
        </w:rPr>
        <w:t>）</w:t>
      </w:r>
    </w:p>
    <w:p>
      <w:pPr>
        <w:widowControl/>
        <w:tabs>
          <w:tab w:val="left" w:pos="900"/>
          <w:tab w:val="left" w:pos="1080"/>
        </w:tabs>
        <w:spacing w:line="440" w:lineRule="exact"/>
        <w:ind w:firstLine="482" w:firstLineChars="200"/>
        <w:jc w:val="left"/>
        <w:rPr>
          <w:rFonts w:ascii="宋体" w:hAnsi="宋体" w:cs="Tahoma"/>
          <w:color w:val="auto"/>
          <w:kern w:val="0"/>
          <w:sz w:val="24"/>
          <w:highlight w:val="none"/>
        </w:rPr>
      </w:pPr>
      <w:r>
        <w:rPr>
          <w:rFonts w:hint="eastAsia" w:ascii="宋体" w:hAnsi="宋体" w:cs="Tahoma"/>
          <w:b/>
          <w:color w:val="auto"/>
          <w:kern w:val="0"/>
          <w:sz w:val="24"/>
          <w:highlight w:val="none"/>
        </w:rPr>
        <w:t>第三条  合同金额及支付方式</w:t>
      </w:r>
      <w:r>
        <w:rPr>
          <w:rFonts w:hint="eastAsia" w:ascii="宋体" w:hAnsi="宋体" w:cs="Tahoma"/>
          <w:color w:val="auto"/>
          <w:kern w:val="0"/>
          <w:sz w:val="24"/>
          <w:highlight w:val="none"/>
        </w:rPr>
        <w:t xml:space="preserve"> </w:t>
      </w:r>
    </w:p>
    <w:p>
      <w:pPr>
        <w:spacing w:line="400" w:lineRule="exact"/>
        <w:ind w:firstLine="420" w:firstLineChars="200"/>
        <w:rPr>
          <w:rFonts w:hint="eastAsia" w:ascii="Times New Roman" w:hAnsi="宋体" w:cs="仿宋_GB2312"/>
          <w:b/>
          <w:color w:val="auto"/>
          <w:szCs w:val="21"/>
          <w:highlight w:val="none"/>
          <w:u w:val="single"/>
          <w:lang w:val="zh-CN"/>
          <w:rPrChange w:id="57" w:author="张弓达" w:date="2021-09-07T15:37:17Z">
            <w:rPr>
              <w:rFonts w:ascii="宋体" w:hAnsi="宋体"/>
              <w:color w:val="auto"/>
              <w:szCs w:val="21"/>
              <w:highlight w:val="none"/>
            </w:rPr>
          </w:rPrChange>
        </w:rPr>
      </w:pPr>
      <w:r>
        <w:rPr>
          <w:rFonts w:hint="eastAsia" w:ascii="宋体" w:hAnsi="宋体" w:cs="宋体"/>
          <w:color w:val="auto"/>
          <w:szCs w:val="21"/>
          <w:highlight w:val="none"/>
        </w:rPr>
        <w:t>▲</w:t>
      </w:r>
      <w:r>
        <w:rPr>
          <w:rFonts w:hint="eastAsia" w:ascii="宋体" w:hAnsi="宋体"/>
          <w:color w:val="auto"/>
          <w:szCs w:val="21"/>
          <w:highlight w:val="none"/>
        </w:rPr>
        <w:t>1.</w:t>
      </w:r>
      <w:r>
        <w:rPr>
          <w:rFonts w:hint="eastAsia" w:ascii="宋体" w:hAnsi="宋体"/>
          <w:b/>
          <w:bCs/>
          <w:color w:val="auto"/>
          <w:szCs w:val="21"/>
          <w:highlight w:val="none"/>
          <w:u w:val="single"/>
        </w:rPr>
        <w:t>合同总价：        元人民币</w:t>
      </w:r>
      <w:r>
        <w:rPr>
          <w:rFonts w:hint="eastAsia" w:ascii="宋体" w:hAnsi="宋体" w:cs="Arial"/>
          <w:b/>
          <w:bCs/>
          <w:snapToGrid w:val="0"/>
          <w:color w:val="auto"/>
          <w:szCs w:val="21"/>
          <w:highlight w:val="none"/>
          <w:u w:val="single"/>
        </w:rPr>
        <w:t>。</w:t>
      </w:r>
      <w:r>
        <w:rPr>
          <w:rFonts w:hint="eastAsia" w:ascii="宋体" w:hAnsi="宋体"/>
          <w:b/>
          <w:bCs/>
          <w:color w:val="auto"/>
          <w:szCs w:val="21"/>
          <w:highlight w:val="none"/>
          <w:u w:val="single"/>
        </w:rPr>
        <w:t>该价格</w:t>
      </w:r>
      <w:r>
        <w:rPr>
          <w:rFonts w:hint="eastAsia" w:hAnsi="宋体" w:cs="Arial"/>
          <w:b/>
          <w:snapToGrid w:val="0"/>
          <w:color w:val="auto"/>
          <w:kern w:val="0"/>
          <w:highlight w:val="none"/>
          <w:u w:val="single"/>
        </w:rPr>
        <w:t>为期限壹年的承包费用，</w:t>
      </w:r>
      <w:r>
        <w:rPr>
          <w:rFonts w:hint="eastAsia" w:ascii="宋体" w:hAnsi="宋体"/>
          <w:b/>
          <w:bCs/>
          <w:color w:val="auto"/>
          <w:szCs w:val="21"/>
          <w:highlight w:val="none"/>
          <w:u w:val="single"/>
        </w:rPr>
        <w:t>已包括</w:t>
      </w:r>
      <w:r>
        <w:rPr>
          <w:rFonts w:hint="eastAsia" w:hAnsi="宋体" w:cs="仿宋_GB2312"/>
          <w:b/>
          <w:color w:val="auto"/>
          <w:szCs w:val="21"/>
          <w:highlight w:val="none"/>
          <w:u w:val="single"/>
          <w:lang w:val="zh-CN"/>
        </w:rPr>
        <w:t>但不限于在承包区域内提供服务所需的人工费（包括工人工资、奖金、加班、劳保福利、社保、意外保险、工伤费、</w:t>
      </w:r>
      <w:r>
        <w:rPr>
          <w:rFonts w:hint="eastAsia" w:hAnsi="宋体" w:cs="仿宋_GB2312"/>
          <w:b/>
          <w:color w:val="auto"/>
          <w:szCs w:val="21"/>
          <w:highlight w:val="none"/>
          <w:u w:val="single"/>
        </w:rPr>
        <w:t>服装费、</w:t>
      </w:r>
      <w:r>
        <w:rPr>
          <w:rFonts w:hint="eastAsia" w:hAnsi="宋体" w:cs="仿宋_GB2312"/>
          <w:b/>
          <w:color w:val="auto"/>
          <w:szCs w:val="21"/>
          <w:highlight w:val="none"/>
          <w:u w:val="single"/>
          <w:lang w:val="zh-CN"/>
        </w:rPr>
        <w:t>教育培训费及处理一切伤亡事故等费用）、企业应缴税金和应得利润、应急等完成合同所需的一切本身和不可或缺的所有工作开支、政策性文件规定及合同包含的所有风险、责任等各项全部费用并承担一切风险责任</w:t>
      </w:r>
      <w:r>
        <w:rPr>
          <w:rFonts w:hint="eastAsia" w:hAnsi="宋体" w:cs="仿宋_GB2312"/>
          <w:b/>
          <w:bCs/>
          <w:color w:val="auto"/>
          <w:szCs w:val="21"/>
          <w:highlight w:val="none"/>
          <w:u w:val="single"/>
          <w:lang w:val="zh-CN"/>
        </w:rPr>
        <w:t>。本合同总价采用固定综合单价承包，乙方不得另行向甲方收取任何费用。合同履行期间，甲方</w:t>
      </w:r>
      <w:r>
        <w:rPr>
          <w:rFonts w:hint="eastAsia" w:ascii="Times New Roman" w:hAnsi="宋体" w:cs="仿宋_GB2312"/>
          <w:b/>
          <w:snapToGrid/>
          <w:color w:val="auto"/>
          <w:szCs w:val="21"/>
          <w:highlight w:val="none"/>
          <w:u w:val="single"/>
          <w:lang w:val="zh-CN"/>
          <w:rPrChange w:id="58" w:author="张弓达" w:date="2021-09-07T15:37:17Z">
            <w:rPr>
              <w:rFonts w:hint="eastAsia" w:ascii="宋体" w:hAnsi="宋体" w:cs="Arial"/>
              <w:snapToGrid w:val="0"/>
              <w:color w:val="auto"/>
              <w:szCs w:val="21"/>
              <w:highlight w:val="none"/>
            </w:rPr>
          </w:rPrChange>
        </w:rPr>
        <w:t>因工作需要增减保安人数的，乙方需无条件配合。</w:t>
      </w:r>
    </w:p>
    <w:p>
      <w:pPr>
        <w:spacing w:line="400" w:lineRule="exact"/>
        <w:ind w:firstLine="420" w:firstLineChars="200"/>
        <w:rPr>
          <w:rFonts w:ascii="宋体" w:hAnsi="宋体"/>
          <w:color w:val="auto"/>
          <w:szCs w:val="21"/>
          <w:highlight w:val="none"/>
        </w:rPr>
      </w:pPr>
      <w:r>
        <w:rPr>
          <w:rFonts w:hint="eastAsia" w:ascii="宋体" w:hAnsi="宋体" w:cs="宋体"/>
          <w:color w:val="auto"/>
          <w:szCs w:val="21"/>
          <w:highlight w:val="none"/>
        </w:rPr>
        <w:t>▲</w:t>
      </w:r>
      <w:r>
        <w:rPr>
          <w:rFonts w:hint="eastAsia" w:ascii="宋体" w:hAnsi="宋体"/>
          <w:color w:val="auto"/>
          <w:szCs w:val="21"/>
          <w:highlight w:val="none"/>
        </w:rPr>
        <w:t>2.</w:t>
      </w:r>
      <w:r>
        <w:rPr>
          <w:rFonts w:hint="eastAsia" w:ascii="宋体" w:hAnsi="宋体"/>
          <w:b/>
          <w:bCs/>
          <w:color w:val="auto"/>
          <w:szCs w:val="21"/>
          <w:highlight w:val="none"/>
          <w:u w:val="single"/>
        </w:rPr>
        <w:t>保安服务费按季度支付，具体服务费结算以实际保安人员数量及派驻时间进行结算。甲方在次季度第一个月15日前考核工作结束后按实际款项支付给乙方。甲方付款前乙方需开具相应金额的增值税专用发票给甲方</w:t>
      </w:r>
      <w:r>
        <w:rPr>
          <w:rFonts w:hint="eastAsia" w:ascii="宋体" w:hAnsi="宋体"/>
          <w:color w:val="auto"/>
          <w:szCs w:val="21"/>
          <w:highlight w:val="none"/>
        </w:rPr>
        <w:t>。</w:t>
      </w:r>
    </w:p>
    <w:p>
      <w:pPr>
        <w:spacing w:line="400" w:lineRule="exact"/>
        <w:ind w:firstLine="482" w:firstLineChars="200"/>
        <w:rPr>
          <w:rFonts w:ascii="宋体" w:hAnsi="宋体"/>
          <w:b/>
          <w:color w:val="auto"/>
          <w:szCs w:val="21"/>
          <w:highlight w:val="none"/>
        </w:rPr>
      </w:pPr>
      <w:r>
        <w:rPr>
          <w:rFonts w:hint="eastAsia" w:ascii="宋体" w:hAnsi="宋体" w:cs="Tahoma"/>
          <w:b/>
          <w:color w:val="auto"/>
          <w:kern w:val="0"/>
          <w:sz w:val="24"/>
          <w:highlight w:val="none"/>
        </w:rPr>
        <w:t xml:space="preserve">第四条  </w:t>
      </w:r>
      <w:r>
        <w:rPr>
          <w:rFonts w:hint="eastAsia" w:ascii="宋体" w:hAnsi="宋体"/>
          <w:b/>
          <w:color w:val="auto"/>
          <w:szCs w:val="21"/>
          <w:highlight w:val="none"/>
        </w:rPr>
        <w:t>履约保证金</w:t>
      </w:r>
    </w:p>
    <w:p>
      <w:pPr>
        <w:tabs>
          <w:tab w:val="left" w:pos="360"/>
        </w:tabs>
        <w:spacing w:line="400" w:lineRule="exact"/>
        <w:ind w:firstLine="440" w:firstLineChars="200"/>
        <w:rPr>
          <w:rFonts w:ascii="宋体" w:hAnsi="宋体"/>
          <w:color w:val="auto"/>
          <w:szCs w:val="21"/>
          <w:highlight w:val="none"/>
        </w:rPr>
      </w:pPr>
      <w:r>
        <w:rPr>
          <w:rFonts w:hint="eastAsia" w:ascii="宋体" w:hAnsi="宋体"/>
          <w:color w:val="auto"/>
          <w:sz w:val="22"/>
          <w:szCs w:val="22"/>
          <w:highlight w:val="none"/>
        </w:rPr>
        <w:t>1.</w:t>
      </w:r>
      <w:r>
        <w:rPr>
          <w:rFonts w:hint="eastAsia" w:ascii="宋体" w:hAnsi="宋体"/>
          <w:color w:val="auto"/>
          <w:szCs w:val="21"/>
          <w:highlight w:val="none"/>
        </w:rPr>
        <w:t>乙方必须在签订本合同前七天内向甲方缴付合同金额5%的履约保证金，以保证乙方遵守本合同的一切条款、条件和承诺，该保证金在甲方的规定存续期间不计息。</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2.甲方在任何时候都有权扣除因乙方违约而导致损失的金额或违约金，乙方应在接到扣除履约保证金通知后一周内补足所扣差额，以保证承包期间履约保证金的完整，否则甲方有权解除本合同。</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3.甲方认为乙方在合同期内没有涉及到违约行为的，甲方应在合同期满后或提前终止承包后一个月内全额无息退还履约保证金；否则，甲方将在扣除乙方应付金额或违约金后，退还保证金余额。</w:t>
      </w:r>
    </w:p>
    <w:p>
      <w:pPr>
        <w:widowControl/>
        <w:spacing w:line="440" w:lineRule="exact"/>
        <w:ind w:firstLine="482" w:firstLineChars="200"/>
        <w:jc w:val="left"/>
        <w:rPr>
          <w:rFonts w:ascii="宋体" w:hAnsi="宋体" w:cs="Tahoma"/>
          <w:b/>
          <w:color w:val="auto"/>
          <w:kern w:val="0"/>
          <w:sz w:val="24"/>
          <w:highlight w:val="none"/>
        </w:rPr>
      </w:pPr>
      <w:r>
        <w:rPr>
          <w:rFonts w:hint="eastAsia" w:ascii="宋体" w:hAnsi="宋体" w:cs="Tahoma"/>
          <w:b/>
          <w:color w:val="auto"/>
          <w:kern w:val="0"/>
          <w:sz w:val="24"/>
          <w:highlight w:val="none"/>
        </w:rPr>
        <w:t xml:space="preserve">第五条  </w:t>
      </w:r>
      <w:r>
        <w:rPr>
          <w:color w:val="auto"/>
          <w:highlight w:val="none"/>
        </w:rPr>
        <w:fldChar w:fldCharType="begin"/>
      </w:r>
      <w:r>
        <w:rPr>
          <w:color w:val="auto"/>
          <w:highlight w:val="none"/>
        </w:rPr>
        <w:instrText xml:space="preserve"> HYPERLINK "http://www.86exp.com/hetong/" </w:instrText>
      </w:r>
      <w:r>
        <w:rPr>
          <w:color w:val="auto"/>
          <w:highlight w:val="none"/>
        </w:rPr>
        <w:fldChar w:fldCharType="separate"/>
      </w:r>
      <w:r>
        <w:rPr>
          <w:rStyle w:val="25"/>
          <w:rFonts w:hint="eastAsia" w:ascii="宋体" w:hAnsi="宋体" w:cs="Tahoma"/>
          <w:b/>
          <w:color w:val="auto"/>
          <w:kern w:val="0"/>
          <w:sz w:val="24"/>
          <w:highlight w:val="none"/>
          <w:u w:val="none"/>
        </w:rPr>
        <w:t>甲方</w:t>
      </w:r>
      <w:r>
        <w:rPr>
          <w:rStyle w:val="25"/>
          <w:rFonts w:hint="eastAsia" w:ascii="宋体" w:hAnsi="宋体" w:cs="Tahoma"/>
          <w:b/>
          <w:color w:val="auto"/>
          <w:kern w:val="0"/>
          <w:sz w:val="24"/>
          <w:highlight w:val="none"/>
          <w:u w:val="none"/>
        </w:rPr>
        <w:fldChar w:fldCharType="end"/>
      </w:r>
      <w:r>
        <w:rPr>
          <w:rFonts w:ascii="宋体" w:hAnsi="宋体" w:cs="Tahoma"/>
          <w:b/>
          <w:color w:val="auto"/>
          <w:kern w:val="0"/>
          <w:sz w:val="24"/>
          <w:highlight w:val="none"/>
        </w:rPr>
        <w:t>的权利义务</w:t>
      </w:r>
    </w:p>
    <w:p>
      <w:pPr>
        <w:tabs>
          <w:tab w:val="left" w:pos="567"/>
        </w:tabs>
        <w:snapToGrid w:val="0"/>
        <w:spacing w:line="440" w:lineRule="exact"/>
        <w:ind w:firstLine="440" w:firstLineChars="200"/>
        <w:rPr>
          <w:rFonts w:ascii="宋体" w:hAnsi="宋体" w:cs="仿宋"/>
          <w:color w:val="auto"/>
          <w:sz w:val="22"/>
          <w:szCs w:val="22"/>
          <w:highlight w:val="none"/>
        </w:rPr>
      </w:pPr>
      <w:r>
        <w:rPr>
          <w:rFonts w:hint="eastAsia" w:ascii="宋体" w:hAnsi="宋体" w:cs="仿宋"/>
          <w:color w:val="auto"/>
          <w:sz w:val="22"/>
          <w:szCs w:val="22"/>
          <w:highlight w:val="none"/>
        </w:rPr>
        <w:t>1.甲方有监督、检查保安员的工作表现情况权利，发现保安员有轻微违纪行为者，给予批评教育，对严重违反有关规章制度者，有权随时退回给乙方，乙方不得以任何理由拒绝；对甲方造成经济和名誉损失的，甲方有权要求乙方予以赔偿，或者从乙方承包服务费中予以相应扣除。</w:t>
      </w:r>
    </w:p>
    <w:p>
      <w:pPr>
        <w:tabs>
          <w:tab w:val="left" w:pos="567"/>
        </w:tabs>
        <w:snapToGrid w:val="0"/>
        <w:spacing w:line="440" w:lineRule="exact"/>
        <w:ind w:firstLine="440" w:firstLineChars="200"/>
        <w:rPr>
          <w:rFonts w:ascii="宋体" w:hAnsi="宋体" w:cs="仿宋"/>
          <w:color w:val="auto"/>
          <w:sz w:val="22"/>
          <w:szCs w:val="22"/>
          <w:highlight w:val="none"/>
        </w:rPr>
      </w:pPr>
      <w:r>
        <w:rPr>
          <w:rFonts w:hint="eastAsia" w:ascii="宋体" w:hAnsi="宋体" w:cs="仿宋"/>
          <w:color w:val="auto"/>
          <w:sz w:val="22"/>
          <w:szCs w:val="22"/>
          <w:highlight w:val="none"/>
        </w:rPr>
        <w:t>2.乙方指派的保安员，必须听从甲方的工作安排及排班要求。甲方自有经济护卫队员有权利对乙方保安人员的工作进行监督管理。</w:t>
      </w:r>
    </w:p>
    <w:p>
      <w:pPr>
        <w:tabs>
          <w:tab w:val="left" w:pos="567"/>
        </w:tabs>
        <w:snapToGrid w:val="0"/>
        <w:spacing w:line="440" w:lineRule="exact"/>
        <w:ind w:firstLine="440" w:firstLineChars="200"/>
        <w:rPr>
          <w:rFonts w:ascii="宋体" w:hAnsi="宋体" w:cs="仿宋"/>
          <w:color w:val="auto"/>
          <w:sz w:val="22"/>
          <w:szCs w:val="22"/>
          <w:highlight w:val="none"/>
        </w:rPr>
      </w:pPr>
      <w:r>
        <w:rPr>
          <w:rFonts w:hint="eastAsia" w:ascii="宋体" w:hAnsi="宋体" w:cs="仿宋"/>
          <w:color w:val="auto"/>
          <w:sz w:val="22"/>
          <w:szCs w:val="22"/>
          <w:highlight w:val="none"/>
        </w:rPr>
        <w:t>3.保安人员在上述工作范围内执行安全防范任务，确保甲方的正常工作秩序。同时，甲方对保安人员有绝对的管理权。</w:t>
      </w:r>
    </w:p>
    <w:p>
      <w:pPr>
        <w:tabs>
          <w:tab w:val="left" w:pos="567"/>
        </w:tabs>
        <w:snapToGrid w:val="0"/>
        <w:spacing w:line="440" w:lineRule="exact"/>
        <w:ind w:firstLine="440" w:firstLineChars="200"/>
        <w:rPr>
          <w:rFonts w:ascii="宋体" w:hAnsi="宋体" w:cs="仿宋"/>
          <w:color w:val="auto"/>
          <w:sz w:val="22"/>
          <w:szCs w:val="22"/>
          <w:highlight w:val="none"/>
        </w:rPr>
      </w:pPr>
      <w:r>
        <w:rPr>
          <w:rFonts w:hint="eastAsia" w:ascii="宋体" w:hAnsi="宋体" w:cs="仿宋"/>
          <w:color w:val="auto"/>
          <w:sz w:val="22"/>
          <w:szCs w:val="22"/>
          <w:highlight w:val="none"/>
        </w:rPr>
        <w:t>4.甲方与乙方派出的保安人员无劳动合同关系，派出的保安发生劳资纠纷甲方不予受理。乙方必须为保安人员投保人身意外伤害险和社会保险，如发生意外伤害一切责任由乙方承担。如造成甲方对外承担的，则甲方有权向乙方进行追偿。</w:t>
      </w:r>
    </w:p>
    <w:p>
      <w:pPr>
        <w:tabs>
          <w:tab w:val="left" w:pos="567"/>
        </w:tabs>
        <w:snapToGrid w:val="0"/>
        <w:spacing w:line="440" w:lineRule="exact"/>
        <w:ind w:firstLine="440" w:firstLineChars="200"/>
        <w:rPr>
          <w:rFonts w:ascii="宋体" w:hAnsi="宋体" w:cs="仿宋"/>
          <w:color w:val="auto"/>
          <w:sz w:val="22"/>
          <w:szCs w:val="22"/>
          <w:highlight w:val="none"/>
        </w:rPr>
      </w:pPr>
      <w:r>
        <w:rPr>
          <w:rFonts w:hint="eastAsia" w:ascii="宋体" w:hAnsi="宋体" w:cs="仿宋"/>
          <w:color w:val="auto"/>
          <w:sz w:val="22"/>
          <w:szCs w:val="22"/>
          <w:highlight w:val="none"/>
        </w:rPr>
        <w:t>5.甲方支持乙方开展工作范围内的安保管理服务。</w:t>
      </w:r>
    </w:p>
    <w:p>
      <w:pPr>
        <w:widowControl/>
        <w:spacing w:line="440" w:lineRule="exact"/>
        <w:ind w:firstLine="440" w:firstLineChars="200"/>
        <w:jc w:val="left"/>
        <w:rPr>
          <w:rFonts w:ascii="宋体" w:hAnsi="宋体" w:cs="仿宋"/>
          <w:color w:val="auto"/>
          <w:sz w:val="22"/>
          <w:szCs w:val="22"/>
          <w:highlight w:val="none"/>
        </w:rPr>
      </w:pPr>
      <w:r>
        <w:rPr>
          <w:rFonts w:hint="eastAsia" w:ascii="宋体" w:hAnsi="宋体" w:cs="仿宋"/>
          <w:color w:val="auto"/>
          <w:sz w:val="22"/>
          <w:szCs w:val="22"/>
          <w:highlight w:val="none"/>
        </w:rPr>
        <w:t>6.甲方有权对乙方承包工作进行考核管理（</w:t>
      </w:r>
      <w:r>
        <w:rPr>
          <w:rFonts w:hint="eastAsia" w:ascii="宋体" w:hAnsi="宋体" w:cs="仿宋"/>
          <w:color w:val="auto"/>
          <w:sz w:val="22"/>
          <w:szCs w:val="22"/>
          <w:highlight w:val="none"/>
          <w:lang w:val="en-US" w:eastAsia="zh-CN"/>
        </w:rPr>
        <w:t>考核办法见</w:t>
      </w:r>
      <w:r>
        <w:rPr>
          <w:rFonts w:hint="eastAsia" w:ascii="宋体" w:hAnsi="宋体" w:eastAsia="宋体" w:cs="Tahoma"/>
          <w:color w:val="auto"/>
          <w:kern w:val="0"/>
          <w:szCs w:val="21"/>
          <w:highlight w:val="none"/>
        </w:rPr>
        <w:t>附表</w:t>
      </w:r>
      <w:r>
        <w:rPr>
          <w:rFonts w:hint="eastAsia" w:ascii="宋体" w:hAnsi="宋体" w:eastAsia="宋体" w:cs="Tahoma"/>
          <w:color w:val="auto"/>
          <w:kern w:val="0"/>
          <w:szCs w:val="21"/>
          <w:highlight w:val="none"/>
          <w:lang w:val="en-US" w:eastAsia="zh-CN"/>
        </w:rPr>
        <w:t>1《</w:t>
      </w:r>
      <w:r>
        <w:rPr>
          <w:rFonts w:hint="eastAsia" w:ascii="宋体" w:hAnsi="宋体" w:eastAsia="宋体" w:cs="Tahoma"/>
          <w:color w:val="auto"/>
          <w:kern w:val="0"/>
          <w:sz w:val="21"/>
          <w:szCs w:val="21"/>
          <w:highlight w:val="none"/>
        </w:rPr>
        <w:t>管理服务目标考核表</w:t>
      </w:r>
      <w:r>
        <w:rPr>
          <w:rFonts w:hint="eastAsia" w:ascii="宋体" w:hAnsi="宋体" w:eastAsia="宋体" w:cs="Tahoma"/>
          <w:color w:val="auto"/>
          <w:kern w:val="0"/>
          <w:sz w:val="21"/>
          <w:szCs w:val="21"/>
          <w:highlight w:val="none"/>
          <w:lang w:eastAsia="zh-CN"/>
        </w:rPr>
        <w:t>》</w:t>
      </w:r>
      <w:r>
        <w:rPr>
          <w:rFonts w:hint="eastAsia" w:ascii="宋体" w:hAnsi="宋体" w:eastAsia="宋体" w:cs="Tahoma"/>
          <w:color w:val="auto"/>
          <w:kern w:val="0"/>
          <w:sz w:val="21"/>
          <w:szCs w:val="21"/>
          <w:highlight w:val="none"/>
        </w:rPr>
        <w:t>）</w:t>
      </w:r>
      <w:r>
        <w:rPr>
          <w:rFonts w:hint="eastAsia" w:ascii="宋体" w:hAnsi="宋体" w:cs="仿宋"/>
          <w:color w:val="auto"/>
          <w:sz w:val="22"/>
          <w:szCs w:val="22"/>
          <w:highlight w:val="none"/>
        </w:rPr>
        <w:t>，可根据对乙方人员的考核情况提出调换要求或终止下个年度合同续签，重新启动招标采购。</w:t>
      </w:r>
    </w:p>
    <w:p>
      <w:pPr>
        <w:widowControl/>
        <w:spacing w:line="440" w:lineRule="exact"/>
        <w:ind w:firstLine="482" w:firstLineChars="200"/>
        <w:jc w:val="left"/>
        <w:rPr>
          <w:rFonts w:ascii="宋体" w:hAnsi="宋体" w:cs="Tahoma"/>
          <w:b/>
          <w:color w:val="auto"/>
          <w:kern w:val="0"/>
          <w:sz w:val="24"/>
          <w:highlight w:val="none"/>
        </w:rPr>
      </w:pPr>
      <w:r>
        <w:rPr>
          <w:rFonts w:hint="eastAsia" w:ascii="宋体" w:hAnsi="宋体" w:cs="Tahoma"/>
          <w:b/>
          <w:color w:val="auto"/>
          <w:kern w:val="0"/>
          <w:sz w:val="24"/>
          <w:highlight w:val="none"/>
        </w:rPr>
        <w:t xml:space="preserve">第六条  </w:t>
      </w:r>
      <w:r>
        <w:rPr>
          <w:color w:val="auto"/>
          <w:highlight w:val="none"/>
        </w:rPr>
        <w:fldChar w:fldCharType="begin"/>
      </w:r>
      <w:r>
        <w:rPr>
          <w:color w:val="auto"/>
          <w:highlight w:val="none"/>
        </w:rPr>
        <w:instrText xml:space="preserve"> HYPERLINK "http://www.86exp.com/hetong/" </w:instrText>
      </w:r>
      <w:r>
        <w:rPr>
          <w:color w:val="auto"/>
          <w:highlight w:val="none"/>
        </w:rPr>
        <w:fldChar w:fldCharType="separate"/>
      </w:r>
      <w:r>
        <w:rPr>
          <w:rStyle w:val="25"/>
          <w:rFonts w:hint="eastAsia" w:ascii="宋体" w:hAnsi="宋体" w:cs="Tahoma"/>
          <w:b/>
          <w:color w:val="auto"/>
          <w:kern w:val="0"/>
          <w:sz w:val="24"/>
          <w:highlight w:val="none"/>
          <w:u w:val="none"/>
        </w:rPr>
        <w:t>乙方</w:t>
      </w:r>
      <w:r>
        <w:rPr>
          <w:rStyle w:val="25"/>
          <w:rFonts w:hint="eastAsia" w:ascii="宋体" w:hAnsi="宋体" w:cs="Tahoma"/>
          <w:b/>
          <w:color w:val="auto"/>
          <w:kern w:val="0"/>
          <w:sz w:val="24"/>
          <w:highlight w:val="none"/>
          <w:u w:val="none"/>
        </w:rPr>
        <w:fldChar w:fldCharType="end"/>
      </w:r>
      <w:r>
        <w:rPr>
          <w:rFonts w:hint="eastAsia" w:ascii="宋体" w:hAnsi="宋体" w:cs="Tahoma"/>
          <w:b/>
          <w:color w:val="auto"/>
          <w:kern w:val="0"/>
          <w:sz w:val="24"/>
          <w:highlight w:val="none"/>
        </w:rPr>
        <w:t>责任</w:t>
      </w:r>
    </w:p>
    <w:p>
      <w:pPr>
        <w:widowControl/>
        <w:spacing w:line="440" w:lineRule="exact"/>
        <w:ind w:firstLine="420" w:firstLineChars="200"/>
        <w:jc w:val="left"/>
        <w:rPr>
          <w:rFonts w:ascii="宋体" w:hAnsi="宋体" w:cs="Tahoma"/>
          <w:color w:val="auto"/>
          <w:kern w:val="0"/>
          <w:szCs w:val="21"/>
          <w:highlight w:val="none"/>
        </w:rPr>
      </w:pPr>
      <w:r>
        <w:rPr>
          <w:rFonts w:hint="eastAsia" w:ascii="宋体" w:hAnsi="宋体" w:cs="Tahoma"/>
          <w:color w:val="auto"/>
          <w:kern w:val="0"/>
          <w:szCs w:val="21"/>
          <w:highlight w:val="none"/>
        </w:rPr>
        <w:t>1．乙方指派保安队员负责甲方的安全保卫工作。</w:t>
      </w:r>
    </w:p>
    <w:p>
      <w:pPr>
        <w:widowControl/>
        <w:spacing w:line="440" w:lineRule="exact"/>
        <w:ind w:firstLine="420" w:firstLineChars="200"/>
        <w:jc w:val="left"/>
        <w:rPr>
          <w:rFonts w:ascii="宋体" w:hAnsi="宋体" w:cs="Tahoma"/>
          <w:color w:val="auto"/>
          <w:kern w:val="0"/>
          <w:szCs w:val="21"/>
          <w:highlight w:val="none"/>
        </w:rPr>
      </w:pPr>
      <w:r>
        <w:rPr>
          <w:rFonts w:hint="eastAsia" w:ascii="宋体" w:hAnsi="宋体" w:cs="Tahoma"/>
          <w:color w:val="auto"/>
          <w:kern w:val="0"/>
          <w:szCs w:val="21"/>
          <w:highlight w:val="none"/>
        </w:rPr>
        <w:t>2．安保队员应严格履行公司管理规定的岗位职责，并执行甲方符合法律规定的要求。</w:t>
      </w:r>
    </w:p>
    <w:p>
      <w:pPr>
        <w:widowControl/>
        <w:spacing w:line="440" w:lineRule="exact"/>
        <w:ind w:firstLine="420" w:firstLineChars="200"/>
        <w:jc w:val="left"/>
        <w:rPr>
          <w:rFonts w:ascii="宋体" w:hAnsi="宋体" w:cs="Tahoma"/>
          <w:color w:val="auto"/>
          <w:kern w:val="0"/>
          <w:szCs w:val="21"/>
          <w:highlight w:val="none"/>
        </w:rPr>
      </w:pPr>
      <w:r>
        <w:rPr>
          <w:rFonts w:hint="eastAsia" w:ascii="宋体" w:hAnsi="宋体" w:cs="Tahoma"/>
          <w:color w:val="auto"/>
          <w:kern w:val="0"/>
          <w:szCs w:val="21"/>
          <w:highlight w:val="none"/>
        </w:rPr>
        <w:t>3．切实落实好安全防范措施，排除责任区域内的不安全因素，遇有各种不安全情况，安保队员应积极采取应对措施，确保甲方工作区域内的人身和财产安全。</w:t>
      </w:r>
    </w:p>
    <w:p>
      <w:pPr>
        <w:widowControl/>
        <w:spacing w:line="440" w:lineRule="exact"/>
        <w:ind w:firstLine="420" w:firstLineChars="200"/>
        <w:jc w:val="left"/>
        <w:rPr>
          <w:rFonts w:ascii="宋体" w:hAnsi="宋体" w:cs="Tahoma"/>
          <w:color w:val="auto"/>
          <w:kern w:val="0"/>
          <w:szCs w:val="21"/>
          <w:highlight w:val="none"/>
        </w:rPr>
      </w:pPr>
      <w:r>
        <w:rPr>
          <w:rFonts w:hint="eastAsia" w:ascii="宋体" w:hAnsi="宋体" w:cs="Tahoma"/>
          <w:color w:val="auto"/>
          <w:kern w:val="0"/>
          <w:szCs w:val="21"/>
          <w:highlight w:val="none"/>
        </w:rPr>
        <w:t>4．选派的安保队员必须身体健康</w:t>
      </w:r>
      <w:r>
        <w:rPr>
          <w:rFonts w:ascii="宋体" w:hAnsi="宋体" w:cs="Arial"/>
          <w:color w:val="auto"/>
          <w:szCs w:val="21"/>
          <w:highlight w:val="none"/>
        </w:rPr>
        <w:t>（经医院体检合格）</w:t>
      </w:r>
      <w:r>
        <w:rPr>
          <w:rFonts w:hint="eastAsia" w:ascii="宋体" w:hAnsi="宋体" w:cs="Arial"/>
          <w:color w:val="auto"/>
          <w:szCs w:val="21"/>
          <w:highlight w:val="none"/>
        </w:rPr>
        <w:t>，</w:t>
      </w:r>
      <w:r>
        <w:rPr>
          <w:rFonts w:hint="eastAsia" w:ascii="宋体" w:hAnsi="宋体" w:cs="Tahoma"/>
          <w:color w:val="auto"/>
          <w:kern w:val="0"/>
          <w:szCs w:val="21"/>
          <w:highlight w:val="none"/>
        </w:rPr>
        <w:t>经过严格审核，无不良品行为和无违法犯罪的前科，个人有效证件齐全，简历和身份真实，且确保安保队员的整体素质。因乙方审查不严，派出的保安曾被采取刑事强制措施、劳教、判刑或在其他单位有严重违法违纪行为被处理过的，一经发现，即刻要求乙方撤换。</w:t>
      </w:r>
    </w:p>
    <w:p>
      <w:pPr>
        <w:widowControl/>
        <w:spacing w:line="440" w:lineRule="exact"/>
        <w:ind w:firstLine="420" w:firstLineChars="200"/>
        <w:jc w:val="left"/>
        <w:rPr>
          <w:rFonts w:ascii="宋体" w:hAnsi="宋体" w:cs="Tahoma"/>
          <w:color w:val="auto"/>
          <w:kern w:val="0"/>
          <w:szCs w:val="21"/>
          <w:highlight w:val="none"/>
        </w:rPr>
      </w:pPr>
      <w:r>
        <w:rPr>
          <w:rFonts w:hint="eastAsia" w:ascii="宋体" w:hAnsi="宋体" w:cs="Tahoma"/>
          <w:color w:val="auto"/>
          <w:kern w:val="0"/>
          <w:szCs w:val="21"/>
          <w:highlight w:val="none"/>
        </w:rPr>
        <w:t>5．乙方安保人员需对工作区内存在的不文明，不安全及危害甲方员工人身安全和财产安全的行为予以制止或报警。</w:t>
      </w:r>
    </w:p>
    <w:p>
      <w:pPr>
        <w:tabs>
          <w:tab w:val="left" w:pos="1134"/>
          <w:tab w:val="left" w:pos="1276"/>
          <w:tab w:val="left" w:pos="1418"/>
        </w:tabs>
        <w:spacing w:line="400" w:lineRule="exact"/>
        <w:ind w:firstLine="420" w:firstLineChars="200"/>
        <w:rPr>
          <w:rFonts w:ascii="宋体" w:hAnsi="宋体" w:cs="宋体"/>
          <w:color w:val="auto"/>
          <w:kern w:val="0"/>
          <w:sz w:val="22"/>
          <w:szCs w:val="22"/>
          <w:highlight w:val="none"/>
        </w:rPr>
      </w:pPr>
      <w:r>
        <w:rPr>
          <w:rFonts w:hint="eastAsia" w:ascii="宋体" w:hAnsi="宋体" w:cs="Tahoma"/>
          <w:color w:val="auto"/>
          <w:kern w:val="0"/>
          <w:szCs w:val="21"/>
          <w:highlight w:val="none"/>
        </w:rPr>
        <w:t>6.</w:t>
      </w:r>
      <w:r>
        <w:rPr>
          <w:rFonts w:hint="eastAsia" w:ascii="宋体" w:hAnsi="宋体"/>
          <w:color w:val="auto"/>
          <w:highlight w:val="none"/>
        </w:rPr>
        <w:t xml:space="preserve"> </w:t>
      </w:r>
      <w:r>
        <w:rPr>
          <w:rFonts w:hint="eastAsia" w:ascii="宋体" w:hAnsi="宋体" w:cs="Tahoma"/>
          <w:color w:val="auto"/>
          <w:kern w:val="0"/>
          <w:szCs w:val="21"/>
          <w:highlight w:val="none"/>
        </w:rPr>
        <w:t>乙方所有安保人员须具有保安资格上岗证，持证上岗。</w:t>
      </w:r>
    </w:p>
    <w:p>
      <w:pPr>
        <w:tabs>
          <w:tab w:val="left" w:pos="1134"/>
          <w:tab w:val="left" w:pos="1276"/>
          <w:tab w:val="left" w:pos="1418"/>
        </w:tabs>
        <w:spacing w:line="400" w:lineRule="exact"/>
        <w:ind w:firstLine="420" w:firstLineChars="200"/>
        <w:rPr>
          <w:rFonts w:ascii="宋体" w:hAnsi="宋体" w:cs="Tahoma"/>
          <w:color w:val="auto"/>
          <w:kern w:val="0"/>
          <w:szCs w:val="21"/>
          <w:highlight w:val="none"/>
        </w:rPr>
      </w:pPr>
      <w:r>
        <w:rPr>
          <w:rFonts w:hint="eastAsia" w:ascii="宋体" w:hAnsi="宋体" w:cs="Tahoma"/>
          <w:color w:val="auto"/>
          <w:kern w:val="0"/>
          <w:szCs w:val="21"/>
          <w:highlight w:val="none"/>
        </w:rPr>
        <w:t>7. 甲方现有各执勤点反恐等装备已按温州市公安局经文保支队的标准要求配备完整，乙方入场后遇执勤装备使用年限到期、损坏无法正常使用等情况，由乙方负责按温州市公安局经文保支队的标准要求购置或补充更新。</w:t>
      </w:r>
    </w:p>
    <w:p>
      <w:pPr>
        <w:tabs>
          <w:tab w:val="left" w:pos="1134"/>
          <w:tab w:val="left" w:pos="1276"/>
          <w:tab w:val="left" w:pos="1418"/>
        </w:tabs>
        <w:spacing w:line="400" w:lineRule="exact"/>
        <w:ind w:firstLine="420" w:firstLineChars="200"/>
        <w:rPr>
          <w:rFonts w:ascii="宋体" w:hAnsi="宋体" w:cs="Tahoma"/>
          <w:color w:val="auto"/>
          <w:kern w:val="0"/>
          <w:szCs w:val="21"/>
          <w:highlight w:val="none"/>
        </w:rPr>
      </w:pPr>
      <w:r>
        <w:rPr>
          <w:rFonts w:hint="eastAsia" w:ascii="宋体" w:hAnsi="宋体" w:cs="Tahoma"/>
          <w:color w:val="auto"/>
          <w:kern w:val="0"/>
          <w:szCs w:val="21"/>
          <w:highlight w:val="none"/>
        </w:rPr>
        <w:t>8. 因安保人员的违规违纪行为被甲方退回，乙方应在甲方要求的期限内补充等额安保人员上岗，并不得将其他单位辞退的安保人员安排在甲方工作。如乙方无法按照甲方要求配备安保人员或安保人员未到位，每发生一次乙方需向甲方支付**的违约金，如违约金不足弥补甲方实际损失，乙方需赔偿甲方不足部分。</w:t>
      </w:r>
    </w:p>
    <w:p>
      <w:pPr>
        <w:tabs>
          <w:tab w:val="left" w:pos="1134"/>
          <w:tab w:val="left" w:pos="1276"/>
          <w:tab w:val="left" w:pos="1418"/>
        </w:tabs>
        <w:spacing w:line="400" w:lineRule="exact"/>
        <w:ind w:firstLine="420" w:firstLineChars="200"/>
        <w:rPr>
          <w:rFonts w:ascii="宋体" w:hAnsi="宋体" w:cs="Tahoma"/>
          <w:color w:val="auto"/>
          <w:kern w:val="0"/>
          <w:szCs w:val="21"/>
          <w:highlight w:val="none"/>
        </w:rPr>
      </w:pPr>
      <w:r>
        <w:rPr>
          <w:rFonts w:hint="eastAsia" w:ascii="宋体" w:hAnsi="宋体" w:cs="Tahoma"/>
          <w:color w:val="auto"/>
          <w:kern w:val="0"/>
          <w:szCs w:val="21"/>
          <w:highlight w:val="none"/>
        </w:rPr>
        <w:t>9. 合同期内原则上乙方不能随意换人，特殊情况下经甲方同意方可换人，以确保队伍稳定。</w:t>
      </w:r>
    </w:p>
    <w:p>
      <w:pPr>
        <w:tabs>
          <w:tab w:val="left" w:pos="1134"/>
          <w:tab w:val="left" w:pos="1276"/>
          <w:tab w:val="left" w:pos="1418"/>
        </w:tabs>
        <w:spacing w:line="400" w:lineRule="exact"/>
        <w:ind w:firstLine="420" w:firstLineChars="200"/>
        <w:rPr>
          <w:rFonts w:ascii="宋体" w:hAnsi="宋体" w:cs="Tahoma"/>
          <w:color w:val="auto"/>
          <w:kern w:val="0"/>
          <w:szCs w:val="21"/>
          <w:highlight w:val="none"/>
        </w:rPr>
      </w:pPr>
      <w:r>
        <w:rPr>
          <w:rFonts w:hint="eastAsia" w:ascii="宋体" w:hAnsi="宋体" w:cs="Tahoma"/>
          <w:color w:val="auto"/>
          <w:kern w:val="0"/>
          <w:szCs w:val="21"/>
          <w:highlight w:val="none"/>
        </w:rPr>
        <w:t>10.乙方不得以任何形式转租、转让、分包本合同项下的保安执勤服务。</w:t>
      </w:r>
    </w:p>
    <w:p>
      <w:pPr>
        <w:tabs>
          <w:tab w:val="left" w:pos="1134"/>
          <w:tab w:val="left" w:pos="1276"/>
          <w:tab w:val="left" w:pos="1418"/>
        </w:tabs>
        <w:spacing w:line="400" w:lineRule="exact"/>
        <w:ind w:firstLine="420" w:firstLineChars="200"/>
        <w:rPr>
          <w:color w:val="auto"/>
          <w:highlight w:val="none"/>
        </w:rPr>
      </w:pPr>
      <w:r>
        <w:rPr>
          <w:rFonts w:hint="eastAsia" w:ascii="宋体" w:hAnsi="宋体" w:cs="Tahoma"/>
          <w:color w:val="auto"/>
          <w:kern w:val="0"/>
          <w:szCs w:val="21"/>
          <w:highlight w:val="none"/>
        </w:rPr>
        <w:t>11.乙方不得以甲方的名义从事任何经济活动，且由此发生的一切债权、债务与甲方无关</w:t>
      </w:r>
      <w:r>
        <w:rPr>
          <w:rFonts w:hint="eastAsia"/>
          <w:color w:val="auto"/>
          <w:highlight w:val="none"/>
        </w:rPr>
        <w:t>。</w:t>
      </w:r>
    </w:p>
    <w:p>
      <w:pPr>
        <w:widowControl/>
        <w:tabs>
          <w:tab w:val="left" w:pos="540"/>
        </w:tabs>
        <w:spacing w:line="440" w:lineRule="exact"/>
        <w:ind w:firstLine="540" w:firstLineChars="224"/>
        <w:jc w:val="left"/>
        <w:rPr>
          <w:rFonts w:ascii="宋体" w:hAnsi="宋体" w:cs="Tahoma"/>
          <w:b/>
          <w:color w:val="auto"/>
          <w:kern w:val="0"/>
          <w:sz w:val="24"/>
          <w:highlight w:val="none"/>
        </w:rPr>
      </w:pPr>
      <w:r>
        <w:rPr>
          <w:rFonts w:hint="eastAsia" w:ascii="宋体" w:hAnsi="宋体" w:cs="Tahoma"/>
          <w:b/>
          <w:color w:val="auto"/>
          <w:kern w:val="0"/>
          <w:sz w:val="24"/>
          <w:highlight w:val="none"/>
        </w:rPr>
        <w:t xml:space="preserve">第七条  </w:t>
      </w:r>
      <w:r>
        <w:rPr>
          <w:color w:val="auto"/>
          <w:highlight w:val="none"/>
        </w:rPr>
        <w:fldChar w:fldCharType="begin"/>
      </w:r>
      <w:r>
        <w:rPr>
          <w:color w:val="auto"/>
          <w:highlight w:val="none"/>
        </w:rPr>
        <w:instrText xml:space="preserve"> HYPERLINK "http://www.86exp.com/hetong/" </w:instrText>
      </w:r>
      <w:r>
        <w:rPr>
          <w:color w:val="auto"/>
          <w:highlight w:val="none"/>
        </w:rPr>
        <w:fldChar w:fldCharType="separate"/>
      </w:r>
      <w:r>
        <w:rPr>
          <w:rStyle w:val="25"/>
          <w:rFonts w:hint="eastAsia" w:ascii="宋体" w:hAnsi="宋体" w:cs="Tahoma"/>
          <w:b/>
          <w:color w:val="auto"/>
          <w:kern w:val="0"/>
          <w:sz w:val="24"/>
          <w:highlight w:val="none"/>
          <w:u w:val="none"/>
        </w:rPr>
        <w:t>合同</w:t>
      </w:r>
      <w:r>
        <w:rPr>
          <w:rStyle w:val="25"/>
          <w:rFonts w:hint="eastAsia" w:ascii="宋体" w:hAnsi="宋体" w:cs="Tahoma"/>
          <w:b/>
          <w:color w:val="auto"/>
          <w:kern w:val="0"/>
          <w:sz w:val="24"/>
          <w:highlight w:val="none"/>
          <w:u w:val="none"/>
        </w:rPr>
        <w:fldChar w:fldCharType="end"/>
      </w:r>
      <w:r>
        <w:rPr>
          <w:rFonts w:hint="eastAsia" w:ascii="宋体" w:hAnsi="宋体" w:cs="Tahoma"/>
          <w:b/>
          <w:color w:val="auto"/>
          <w:kern w:val="0"/>
          <w:sz w:val="24"/>
          <w:highlight w:val="none"/>
        </w:rPr>
        <w:t>的终止及违约责任</w:t>
      </w:r>
    </w:p>
    <w:p>
      <w:pPr>
        <w:widowControl/>
        <w:tabs>
          <w:tab w:val="left" w:pos="540"/>
        </w:tabs>
        <w:spacing w:line="440" w:lineRule="exact"/>
        <w:ind w:firstLine="420" w:firstLineChars="200"/>
        <w:jc w:val="left"/>
        <w:rPr>
          <w:rFonts w:ascii="宋体" w:hAnsi="宋体" w:cs="Tahoma"/>
          <w:color w:val="auto"/>
          <w:kern w:val="0"/>
          <w:szCs w:val="21"/>
          <w:highlight w:val="none"/>
        </w:rPr>
      </w:pPr>
      <w:r>
        <w:rPr>
          <w:rFonts w:hint="eastAsia" w:ascii="宋体" w:hAnsi="宋体" w:cs="Tahoma"/>
          <w:color w:val="auto"/>
          <w:kern w:val="0"/>
          <w:szCs w:val="21"/>
          <w:highlight w:val="none"/>
        </w:rPr>
        <w:t>1．甲方在乙方存在如下违约情况时，有权单方面终止全部或部分合同，并保留进一步追究乙方责任的权利（包括经济赔偿）。</w:t>
      </w:r>
    </w:p>
    <w:p>
      <w:pPr>
        <w:widowControl/>
        <w:tabs>
          <w:tab w:val="left" w:pos="540"/>
        </w:tabs>
        <w:spacing w:line="440" w:lineRule="exact"/>
        <w:ind w:firstLine="210" w:firstLineChars="100"/>
        <w:jc w:val="left"/>
        <w:rPr>
          <w:rFonts w:ascii="宋体" w:hAnsi="宋体" w:cs="Tahoma"/>
          <w:color w:val="auto"/>
          <w:kern w:val="0"/>
          <w:szCs w:val="21"/>
          <w:highlight w:val="none"/>
        </w:rPr>
      </w:pPr>
      <w:r>
        <w:rPr>
          <w:rFonts w:hint="eastAsia" w:ascii="宋体" w:hAnsi="宋体" w:cs="Tahoma"/>
          <w:color w:val="auto"/>
          <w:kern w:val="0"/>
          <w:szCs w:val="21"/>
          <w:highlight w:val="none"/>
        </w:rPr>
        <w:t>（1） 乙方未能履行合同规定的义务。</w:t>
      </w:r>
    </w:p>
    <w:p>
      <w:pPr>
        <w:widowControl/>
        <w:tabs>
          <w:tab w:val="left" w:pos="540"/>
        </w:tabs>
        <w:spacing w:line="440" w:lineRule="exact"/>
        <w:ind w:firstLine="210" w:firstLineChars="100"/>
        <w:jc w:val="left"/>
        <w:rPr>
          <w:rFonts w:ascii="宋体" w:hAnsi="宋体" w:cs="Tahoma"/>
          <w:color w:val="auto"/>
          <w:kern w:val="0"/>
          <w:szCs w:val="21"/>
          <w:highlight w:val="none"/>
        </w:rPr>
      </w:pPr>
      <w:r>
        <w:rPr>
          <w:rFonts w:hint="eastAsia" w:ascii="宋体" w:hAnsi="宋体" w:cs="Tahoma"/>
          <w:color w:val="auto"/>
          <w:kern w:val="0"/>
          <w:szCs w:val="21"/>
          <w:highlight w:val="none"/>
        </w:rPr>
        <w:t>（2） 有严重影响温州快鹿集团公司的正常工作及公众形象。</w:t>
      </w:r>
    </w:p>
    <w:p>
      <w:pPr>
        <w:widowControl/>
        <w:tabs>
          <w:tab w:val="left" w:pos="540"/>
        </w:tabs>
        <w:spacing w:line="440" w:lineRule="exact"/>
        <w:ind w:firstLine="210" w:firstLineChars="100"/>
        <w:jc w:val="left"/>
        <w:rPr>
          <w:rFonts w:ascii="宋体" w:hAnsi="宋体" w:cs="Tahoma"/>
          <w:color w:val="auto"/>
          <w:kern w:val="0"/>
          <w:szCs w:val="21"/>
          <w:highlight w:val="none"/>
        </w:rPr>
      </w:pPr>
      <w:r>
        <w:rPr>
          <w:rFonts w:hint="eastAsia" w:ascii="宋体" w:hAnsi="宋体" w:cs="Tahoma"/>
          <w:color w:val="auto"/>
          <w:kern w:val="0"/>
          <w:szCs w:val="21"/>
          <w:highlight w:val="none"/>
        </w:rPr>
        <w:t>（3） 与招标文件不符合的做法，或不履行其投标文件的承诺。</w:t>
      </w:r>
    </w:p>
    <w:p>
      <w:pPr>
        <w:widowControl/>
        <w:spacing w:line="440" w:lineRule="exact"/>
        <w:ind w:firstLine="0" w:firstLineChars="0"/>
        <w:jc w:val="left"/>
        <w:rPr>
          <w:rFonts w:ascii="宋体" w:hAnsi="宋体" w:cs="Tahoma"/>
          <w:color w:val="auto"/>
          <w:kern w:val="0"/>
          <w:szCs w:val="21"/>
          <w:highlight w:val="none"/>
        </w:rPr>
      </w:pPr>
      <w:r>
        <w:rPr>
          <w:rFonts w:hint="eastAsia" w:ascii="宋体" w:hAnsi="宋体" w:cs="Tahoma"/>
          <w:color w:val="auto"/>
          <w:kern w:val="0"/>
          <w:szCs w:val="21"/>
          <w:highlight w:val="none"/>
        </w:rPr>
        <w:t>（4） 经甲方考核，本年度合同内，乙方出现三次月度考核成绩在85分以下的，视为综合考核成绩不合格。</w:t>
      </w:r>
      <w:r>
        <w:rPr>
          <w:rFonts w:hint="eastAsia" w:ascii="宋体" w:hAnsi="宋体" w:cs="仿宋"/>
          <w:color w:val="auto"/>
          <w:sz w:val="22"/>
          <w:szCs w:val="22"/>
          <w:highlight w:val="none"/>
        </w:rPr>
        <w:t>（</w:t>
      </w:r>
      <w:r>
        <w:rPr>
          <w:rFonts w:hint="eastAsia" w:ascii="宋体" w:hAnsi="宋体" w:cs="仿宋"/>
          <w:color w:val="auto"/>
          <w:sz w:val="22"/>
          <w:szCs w:val="22"/>
          <w:highlight w:val="none"/>
          <w:lang w:val="en-US" w:eastAsia="zh-CN"/>
        </w:rPr>
        <w:t>考核办法见</w:t>
      </w:r>
      <w:r>
        <w:rPr>
          <w:rFonts w:hint="eastAsia" w:ascii="宋体" w:hAnsi="宋体" w:cs="Tahoma"/>
          <w:color w:val="auto"/>
          <w:kern w:val="0"/>
          <w:szCs w:val="21"/>
          <w:highlight w:val="none"/>
        </w:rPr>
        <w:t>附表</w:t>
      </w:r>
      <w:r>
        <w:rPr>
          <w:rFonts w:hint="eastAsia" w:ascii="宋体" w:hAnsi="宋体" w:eastAsia="宋体" w:cs="Tahoma"/>
          <w:color w:val="auto"/>
          <w:kern w:val="0"/>
          <w:szCs w:val="21"/>
          <w:highlight w:val="none"/>
          <w:lang w:val="en-US" w:eastAsia="zh-CN"/>
        </w:rPr>
        <w:t>1《</w:t>
      </w:r>
      <w:r>
        <w:rPr>
          <w:rFonts w:hint="eastAsia" w:ascii="宋体" w:hAnsi="宋体" w:cs="Tahoma"/>
          <w:color w:val="auto"/>
          <w:kern w:val="0"/>
          <w:sz w:val="21"/>
          <w:szCs w:val="21"/>
          <w:highlight w:val="none"/>
        </w:rPr>
        <w:t>管理服务目标考核表</w:t>
      </w:r>
      <w:r>
        <w:rPr>
          <w:rFonts w:hint="eastAsia" w:ascii="宋体" w:hAnsi="宋体" w:eastAsia="宋体" w:cs="Tahoma"/>
          <w:color w:val="auto"/>
          <w:kern w:val="0"/>
          <w:sz w:val="21"/>
          <w:szCs w:val="21"/>
          <w:highlight w:val="none"/>
          <w:lang w:eastAsia="zh-CN"/>
        </w:rPr>
        <w:t>》</w:t>
      </w:r>
      <w:r>
        <w:rPr>
          <w:rFonts w:hint="eastAsia" w:ascii="宋体" w:hAnsi="宋体" w:cs="Tahoma"/>
          <w:color w:val="auto"/>
          <w:kern w:val="0"/>
          <w:sz w:val="21"/>
          <w:szCs w:val="21"/>
          <w:highlight w:val="none"/>
        </w:rPr>
        <w:t>）</w:t>
      </w:r>
    </w:p>
    <w:p>
      <w:pPr>
        <w:widowControl/>
        <w:tabs>
          <w:tab w:val="left" w:pos="540"/>
        </w:tabs>
        <w:spacing w:line="440" w:lineRule="exact"/>
        <w:ind w:firstLine="210" w:firstLineChars="100"/>
        <w:jc w:val="left"/>
        <w:rPr>
          <w:rFonts w:ascii="宋体" w:hAnsi="宋体" w:cs="Tahoma"/>
          <w:color w:val="auto"/>
          <w:kern w:val="0"/>
          <w:szCs w:val="21"/>
          <w:highlight w:val="none"/>
        </w:rPr>
      </w:pPr>
      <w:r>
        <w:rPr>
          <w:rFonts w:hint="eastAsia" w:ascii="宋体" w:hAnsi="宋体" w:cs="Tahoma"/>
          <w:color w:val="auto"/>
          <w:kern w:val="0"/>
          <w:szCs w:val="21"/>
          <w:highlight w:val="none"/>
        </w:rPr>
        <w:t>（5） 经甲方考核，本年度合同内，乙方出现五次月度考核成绩在90分以下的，视为综合考核成绩不合格。</w:t>
      </w:r>
      <w:r>
        <w:rPr>
          <w:rFonts w:hint="eastAsia" w:ascii="宋体" w:hAnsi="宋体" w:cs="仿宋"/>
          <w:color w:val="auto"/>
          <w:sz w:val="22"/>
          <w:szCs w:val="22"/>
          <w:highlight w:val="none"/>
        </w:rPr>
        <w:t>（</w:t>
      </w:r>
      <w:r>
        <w:rPr>
          <w:rFonts w:hint="eastAsia" w:ascii="宋体" w:hAnsi="宋体" w:cs="仿宋"/>
          <w:color w:val="auto"/>
          <w:sz w:val="22"/>
          <w:szCs w:val="22"/>
          <w:highlight w:val="none"/>
          <w:lang w:val="en-US" w:eastAsia="zh-CN"/>
        </w:rPr>
        <w:t>考核办法见</w:t>
      </w:r>
      <w:r>
        <w:rPr>
          <w:rFonts w:hint="eastAsia" w:ascii="宋体" w:hAnsi="宋体" w:eastAsia="宋体" w:cs="Tahoma"/>
          <w:color w:val="auto"/>
          <w:kern w:val="0"/>
          <w:szCs w:val="21"/>
          <w:highlight w:val="none"/>
        </w:rPr>
        <w:t>附表</w:t>
      </w:r>
      <w:r>
        <w:rPr>
          <w:rFonts w:hint="eastAsia" w:ascii="宋体" w:hAnsi="宋体" w:eastAsia="宋体" w:cs="Tahoma"/>
          <w:color w:val="auto"/>
          <w:kern w:val="0"/>
          <w:szCs w:val="21"/>
          <w:highlight w:val="none"/>
          <w:lang w:val="en-US" w:eastAsia="zh-CN"/>
        </w:rPr>
        <w:t>1《</w:t>
      </w:r>
      <w:r>
        <w:rPr>
          <w:rFonts w:hint="eastAsia" w:ascii="宋体" w:hAnsi="宋体" w:eastAsia="宋体" w:cs="Tahoma"/>
          <w:color w:val="auto"/>
          <w:kern w:val="0"/>
          <w:sz w:val="21"/>
          <w:szCs w:val="21"/>
          <w:highlight w:val="none"/>
        </w:rPr>
        <w:t>管理服务目标考核表</w:t>
      </w:r>
      <w:r>
        <w:rPr>
          <w:rFonts w:hint="eastAsia" w:ascii="宋体" w:hAnsi="宋体" w:eastAsia="宋体" w:cs="Tahoma"/>
          <w:color w:val="auto"/>
          <w:kern w:val="0"/>
          <w:sz w:val="21"/>
          <w:szCs w:val="21"/>
          <w:highlight w:val="none"/>
          <w:lang w:eastAsia="zh-CN"/>
        </w:rPr>
        <w:t>》</w:t>
      </w:r>
      <w:r>
        <w:rPr>
          <w:rFonts w:hint="eastAsia" w:ascii="宋体" w:hAnsi="宋体" w:eastAsia="宋体" w:cs="Tahoma"/>
          <w:color w:val="auto"/>
          <w:kern w:val="0"/>
          <w:sz w:val="21"/>
          <w:szCs w:val="21"/>
          <w:highlight w:val="none"/>
        </w:rPr>
        <w:t>）</w:t>
      </w:r>
    </w:p>
    <w:p>
      <w:pPr>
        <w:widowControl/>
        <w:tabs>
          <w:tab w:val="left" w:pos="540"/>
        </w:tabs>
        <w:spacing w:line="440" w:lineRule="exact"/>
        <w:ind w:firstLine="420" w:firstLineChars="200"/>
        <w:jc w:val="left"/>
        <w:rPr>
          <w:rFonts w:ascii="宋体" w:hAnsi="宋体" w:cs="Tahoma"/>
          <w:color w:val="auto"/>
          <w:kern w:val="0"/>
          <w:szCs w:val="21"/>
          <w:highlight w:val="none"/>
        </w:rPr>
      </w:pPr>
      <w:r>
        <w:rPr>
          <w:rFonts w:hint="eastAsia" w:ascii="宋体" w:hAnsi="宋体" w:cs="Tahoma"/>
          <w:color w:val="auto"/>
          <w:kern w:val="0"/>
          <w:szCs w:val="21"/>
          <w:highlight w:val="none"/>
        </w:rPr>
        <w:t>2. 乙方如要提前中止合同，需提前3个月，并征得甲方同意，否则按合同执行。</w:t>
      </w:r>
    </w:p>
    <w:p>
      <w:pPr>
        <w:widowControl/>
        <w:tabs>
          <w:tab w:val="left" w:pos="540"/>
        </w:tabs>
        <w:spacing w:line="440" w:lineRule="exact"/>
        <w:ind w:firstLine="420" w:firstLineChars="200"/>
        <w:jc w:val="left"/>
        <w:rPr>
          <w:rFonts w:ascii="宋体" w:hAnsi="宋体" w:cs="Tahoma"/>
          <w:color w:val="auto"/>
          <w:kern w:val="0"/>
          <w:szCs w:val="21"/>
          <w:highlight w:val="none"/>
        </w:rPr>
      </w:pPr>
      <w:r>
        <w:rPr>
          <w:rFonts w:hint="eastAsia" w:ascii="宋体" w:hAnsi="宋体" w:cs="Tahoma"/>
          <w:color w:val="auto"/>
          <w:kern w:val="0"/>
          <w:szCs w:val="21"/>
          <w:highlight w:val="none"/>
        </w:rPr>
        <w:t>3. 除不可抗力以外，如发生乙方不能履行合同义务等情况，应及时以书面形式通知对方。甲乙双方应本着友好的态度进行协商，妥善解决。如协商无效，按下列规定计算并支付违约金：</w:t>
      </w:r>
    </w:p>
    <w:p>
      <w:pPr>
        <w:widowControl/>
        <w:tabs>
          <w:tab w:val="left" w:pos="540"/>
        </w:tabs>
        <w:spacing w:line="440" w:lineRule="exact"/>
        <w:ind w:firstLine="210" w:firstLineChars="100"/>
        <w:jc w:val="left"/>
        <w:rPr>
          <w:rFonts w:ascii="宋体" w:hAnsi="宋体" w:cs="Tahoma"/>
          <w:color w:val="auto"/>
          <w:kern w:val="0"/>
          <w:szCs w:val="21"/>
          <w:highlight w:val="none"/>
        </w:rPr>
      </w:pPr>
      <w:r>
        <w:rPr>
          <w:rFonts w:hint="eastAsia" w:ascii="宋体" w:hAnsi="宋体" w:cs="Tahoma"/>
          <w:color w:val="auto"/>
          <w:kern w:val="0"/>
          <w:szCs w:val="21"/>
          <w:highlight w:val="none"/>
        </w:rPr>
        <w:t>（1） 乙方不能履行合同义务，应向甲方偿付违约金，违约金按未履约部分合同价格的10%计算。</w:t>
      </w:r>
    </w:p>
    <w:p>
      <w:pPr>
        <w:widowControl/>
        <w:tabs>
          <w:tab w:val="left" w:pos="540"/>
          <w:tab w:val="left" w:pos="1287"/>
        </w:tabs>
        <w:spacing w:line="440" w:lineRule="exact"/>
        <w:ind w:firstLine="210" w:firstLineChars="100"/>
        <w:jc w:val="left"/>
        <w:rPr>
          <w:rFonts w:ascii="宋体" w:hAnsi="宋体" w:cs="Tahoma"/>
          <w:color w:val="auto"/>
          <w:kern w:val="0"/>
          <w:szCs w:val="21"/>
          <w:highlight w:val="none"/>
        </w:rPr>
      </w:pPr>
      <w:r>
        <w:rPr>
          <w:rFonts w:hint="eastAsia" w:ascii="宋体" w:hAnsi="宋体" w:cs="Tahoma"/>
          <w:color w:val="auto"/>
          <w:kern w:val="0"/>
          <w:szCs w:val="21"/>
          <w:highlight w:val="none"/>
        </w:rPr>
        <w:t>（2） 如乙方未能履行合同规定的任何一项义务，甲方均有权从服务费中扣除乙方所得，进行补偿。罚款金按每月服务费总额3%计算。</w:t>
      </w:r>
    </w:p>
    <w:p>
      <w:pPr>
        <w:widowControl/>
        <w:tabs>
          <w:tab w:val="left" w:pos="540"/>
          <w:tab w:val="left" w:pos="1287"/>
        </w:tabs>
        <w:spacing w:line="440" w:lineRule="exact"/>
        <w:ind w:firstLine="210" w:firstLineChars="100"/>
        <w:jc w:val="left"/>
        <w:rPr>
          <w:rFonts w:ascii="宋体" w:hAnsi="宋体" w:cs="Tahoma"/>
          <w:color w:val="auto"/>
          <w:kern w:val="0"/>
          <w:szCs w:val="21"/>
          <w:highlight w:val="none"/>
        </w:rPr>
      </w:pPr>
      <w:r>
        <w:rPr>
          <w:rFonts w:hint="eastAsia" w:ascii="宋体" w:hAnsi="宋体" w:cs="Tahoma"/>
          <w:color w:val="auto"/>
          <w:kern w:val="0"/>
          <w:szCs w:val="21"/>
          <w:highlight w:val="none"/>
        </w:rPr>
        <w:t>（3） 甲方在任何时候都有权从服务费中扣除用于修复乙方损坏甲方的技防设备、设施、场地或因乙方违约而导致损失的金额或违约金，且乙方应在接到扣服务费通知后一周内给予确认，甲方保证承包期间按时支付服务费。</w:t>
      </w:r>
    </w:p>
    <w:p>
      <w:pPr>
        <w:widowControl/>
        <w:tabs>
          <w:tab w:val="left" w:pos="540"/>
        </w:tabs>
        <w:spacing w:line="440" w:lineRule="exact"/>
        <w:ind w:firstLine="210" w:firstLineChars="100"/>
        <w:jc w:val="left"/>
        <w:rPr>
          <w:rFonts w:ascii="宋体" w:hAnsi="宋体" w:cs="Tahoma"/>
          <w:color w:val="auto"/>
          <w:kern w:val="0"/>
          <w:szCs w:val="21"/>
          <w:highlight w:val="none"/>
        </w:rPr>
      </w:pPr>
      <w:r>
        <w:rPr>
          <w:rFonts w:hint="eastAsia" w:ascii="宋体" w:hAnsi="宋体" w:cs="Tahoma"/>
          <w:color w:val="auto"/>
          <w:kern w:val="0"/>
          <w:szCs w:val="21"/>
          <w:highlight w:val="none"/>
        </w:rPr>
        <w:t>（4） 经双方协商可终止部分或全部合同的，无须承担违约责任。</w:t>
      </w:r>
    </w:p>
    <w:p>
      <w:pPr>
        <w:widowControl/>
        <w:tabs>
          <w:tab w:val="left" w:pos="540"/>
          <w:tab w:val="left" w:pos="1287"/>
        </w:tabs>
        <w:spacing w:line="440" w:lineRule="exact"/>
        <w:ind w:firstLine="210" w:firstLineChars="100"/>
        <w:jc w:val="left"/>
        <w:rPr>
          <w:rFonts w:hint="eastAsia" w:ascii="宋体" w:hAnsi="宋体" w:cs="Tahoma"/>
          <w:color w:val="auto"/>
          <w:kern w:val="0"/>
          <w:szCs w:val="21"/>
          <w:highlight w:val="none"/>
        </w:rPr>
      </w:pPr>
    </w:p>
    <w:p>
      <w:pPr>
        <w:pStyle w:val="11"/>
        <w:widowControl/>
        <w:spacing w:line="440" w:lineRule="exact"/>
        <w:ind w:left="0" w:firstLine="482" w:firstLineChars="200"/>
        <w:jc w:val="left"/>
        <w:rPr>
          <w:rFonts w:ascii="宋体" w:hAnsi="宋体" w:cs="Tahoma"/>
          <w:b/>
          <w:color w:val="auto"/>
          <w:kern w:val="0"/>
          <w:sz w:val="24"/>
          <w:highlight w:val="none"/>
        </w:rPr>
      </w:pPr>
      <w:r>
        <w:rPr>
          <w:rFonts w:hint="eastAsia" w:ascii="宋体" w:hAnsi="宋体" w:cs="Tahoma"/>
          <w:b/>
          <w:color w:val="auto"/>
          <w:kern w:val="0"/>
          <w:sz w:val="24"/>
          <w:highlight w:val="none"/>
        </w:rPr>
        <w:t>第八条　其它约定事项</w:t>
      </w:r>
    </w:p>
    <w:p>
      <w:pPr>
        <w:widowControl/>
        <w:spacing w:line="440" w:lineRule="exact"/>
        <w:ind w:firstLine="210" w:firstLineChars="100"/>
        <w:jc w:val="left"/>
        <w:rPr>
          <w:rFonts w:ascii="宋体" w:hAnsi="宋体" w:cs="Tahoma"/>
          <w:color w:val="auto"/>
          <w:kern w:val="0"/>
          <w:szCs w:val="21"/>
          <w:highlight w:val="none"/>
        </w:rPr>
      </w:pPr>
      <w:r>
        <w:rPr>
          <w:rFonts w:hint="eastAsia" w:ascii="宋体" w:hAnsi="宋体" w:cs="Tahoma"/>
          <w:color w:val="auto"/>
          <w:kern w:val="0"/>
          <w:szCs w:val="21"/>
          <w:highlight w:val="none"/>
        </w:rPr>
        <w:t xml:space="preserve">1．甲方对乙方保安服务质量进行全过程监控，乙方日常工作不到位、不达标、或有违约现象，将依据合同约定，做出相应的违约处理与处罚； </w:t>
      </w:r>
    </w:p>
    <w:p>
      <w:pPr>
        <w:widowControl/>
        <w:spacing w:line="440" w:lineRule="exact"/>
        <w:ind w:firstLine="210" w:firstLineChars="100"/>
        <w:jc w:val="left"/>
        <w:rPr>
          <w:rFonts w:ascii="宋体" w:hAnsi="宋体" w:cs="Tahoma"/>
          <w:color w:val="auto"/>
          <w:kern w:val="0"/>
          <w:szCs w:val="21"/>
          <w:highlight w:val="none"/>
        </w:rPr>
      </w:pPr>
      <w:r>
        <w:rPr>
          <w:rFonts w:hint="eastAsia" w:ascii="宋体" w:hAnsi="宋体" w:cs="Tahoma"/>
          <w:color w:val="auto"/>
          <w:kern w:val="0"/>
          <w:szCs w:val="21"/>
          <w:highlight w:val="none"/>
        </w:rPr>
        <w:t>2．甲方对乙方保安人员的管理、监督、指导、检查等行为是对承包方履行合同的监督，不改变乙方与保安人员的劳动关系。甲方公司仅是乙方保安人员的工作场所，如保安人员在甲方公司内发生任何责任事故、人身伤亡及劳动纠纷，均由乙方负责处理并承担全部责任，与甲方无关。</w:t>
      </w:r>
    </w:p>
    <w:p>
      <w:pPr>
        <w:widowControl/>
        <w:spacing w:line="440" w:lineRule="exact"/>
        <w:ind w:firstLine="210" w:firstLineChars="100"/>
        <w:jc w:val="left"/>
        <w:rPr>
          <w:rFonts w:ascii="宋体" w:hAnsi="宋体" w:cs="Tahoma"/>
          <w:color w:val="auto"/>
          <w:kern w:val="0"/>
          <w:szCs w:val="21"/>
          <w:highlight w:val="none"/>
        </w:rPr>
      </w:pPr>
      <w:r>
        <w:rPr>
          <w:rFonts w:hint="eastAsia" w:ascii="宋体" w:hAnsi="宋体" w:cs="Tahoma"/>
          <w:color w:val="auto"/>
          <w:kern w:val="0"/>
          <w:szCs w:val="21"/>
          <w:highlight w:val="none"/>
        </w:rPr>
        <w:t xml:space="preserve">3．乙方及其保安人员在安保服务中违反国家相关法规或保安行业规范，因故意或过失造成他人人身伤亡的，均由乙方负责处理并承担法律责任和善良道义责任，甲方不承担任何责任。如由此造成甲方对外承担责任或垫付相关费用的，甲方有权向乙方追偿，并要求乙方承担甲方由此支出的全部费用（包括但不限于甲方对外赔偿的费用、律师费、诉讼费、差旅费等）。 </w:t>
      </w:r>
    </w:p>
    <w:p>
      <w:pPr>
        <w:widowControl/>
        <w:spacing w:line="440" w:lineRule="exact"/>
        <w:ind w:firstLine="210" w:firstLineChars="100"/>
        <w:jc w:val="left"/>
        <w:rPr>
          <w:rFonts w:ascii="宋体" w:hAnsi="宋体" w:cs="Tahoma"/>
          <w:color w:val="auto"/>
          <w:kern w:val="0"/>
          <w:szCs w:val="21"/>
          <w:highlight w:val="none"/>
        </w:rPr>
      </w:pPr>
      <w:r>
        <w:rPr>
          <w:rFonts w:hint="eastAsia" w:ascii="宋体" w:hAnsi="宋体" w:cs="Tahoma"/>
          <w:color w:val="auto"/>
          <w:kern w:val="0"/>
          <w:szCs w:val="21"/>
          <w:highlight w:val="none"/>
        </w:rPr>
        <w:t>4. 乙方违反国家相关法规，与聘用人员发生纠纷，均由乙方负责调解与处理，甲方不承担责任。</w:t>
      </w:r>
    </w:p>
    <w:p>
      <w:pPr>
        <w:widowControl/>
        <w:spacing w:line="440" w:lineRule="exact"/>
        <w:ind w:firstLine="210" w:firstLineChars="100"/>
        <w:jc w:val="left"/>
        <w:rPr>
          <w:rFonts w:ascii="宋体" w:hAnsi="宋体" w:cs="Tahoma"/>
          <w:color w:val="auto"/>
          <w:kern w:val="0"/>
          <w:szCs w:val="21"/>
          <w:highlight w:val="none"/>
        </w:rPr>
      </w:pPr>
      <w:r>
        <w:rPr>
          <w:rFonts w:hint="eastAsia" w:ascii="宋体" w:hAnsi="宋体" w:cs="Tahoma"/>
          <w:color w:val="auto"/>
          <w:kern w:val="0"/>
          <w:szCs w:val="21"/>
          <w:highlight w:val="none"/>
        </w:rPr>
        <w:t>5．乙方及其员工应遵守公司的各项规章制度，接受甲方的管理、监督、指导和检查。</w:t>
      </w:r>
    </w:p>
    <w:p>
      <w:pPr>
        <w:widowControl/>
        <w:spacing w:line="440" w:lineRule="exact"/>
        <w:ind w:firstLine="210" w:firstLineChars="100"/>
        <w:jc w:val="left"/>
        <w:rPr>
          <w:rFonts w:ascii="宋体" w:hAnsi="宋体" w:cs="Tahoma"/>
          <w:color w:val="auto"/>
          <w:kern w:val="0"/>
          <w:szCs w:val="21"/>
          <w:highlight w:val="none"/>
        </w:rPr>
      </w:pPr>
      <w:r>
        <w:rPr>
          <w:rFonts w:hint="eastAsia" w:ascii="宋体" w:hAnsi="宋体" w:cs="Tahoma"/>
          <w:color w:val="auto"/>
          <w:kern w:val="0"/>
          <w:szCs w:val="21"/>
          <w:highlight w:val="none"/>
        </w:rPr>
        <w:t>6．乙方必须对全体保安人员（包括甲方自有经济护卫队员）进行相关培训和集训，每年不得少于二次。</w:t>
      </w:r>
    </w:p>
    <w:p>
      <w:pPr>
        <w:pStyle w:val="9"/>
        <w:widowControl/>
        <w:spacing w:line="440" w:lineRule="exact"/>
        <w:ind w:firstLine="210" w:firstLineChars="100"/>
        <w:jc w:val="left"/>
        <w:rPr>
          <w:rFonts w:ascii="宋体" w:hAnsi="宋体" w:cs="Tahoma"/>
          <w:color w:val="auto"/>
          <w:kern w:val="0"/>
          <w:sz w:val="22"/>
          <w:szCs w:val="21"/>
          <w:highlight w:val="none"/>
        </w:rPr>
      </w:pPr>
      <w:r>
        <w:rPr>
          <w:rFonts w:hint="eastAsia"/>
          <w:color w:val="auto"/>
          <w:highlight w:val="none"/>
        </w:rPr>
        <w:t>7. 乙方派出的保安因监守自盗、内外勾结作案或严重违规违纪、工作失职等自身原因给甲方造成经济损失的，乙方必须承担全部经济赔偿责任。</w:t>
      </w:r>
    </w:p>
    <w:p>
      <w:pPr>
        <w:snapToGrid w:val="0"/>
        <w:spacing w:line="460" w:lineRule="exact"/>
        <w:ind w:firstLine="482" w:firstLineChars="200"/>
        <w:rPr>
          <w:rFonts w:ascii="宋体" w:hAnsi="宋体"/>
          <w:b/>
          <w:bCs/>
          <w:color w:val="auto"/>
          <w:sz w:val="24"/>
          <w:highlight w:val="none"/>
        </w:rPr>
      </w:pPr>
      <w:r>
        <w:rPr>
          <w:rFonts w:hint="eastAsia" w:ascii="宋体" w:hAnsi="宋体"/>
          <w:b/>
          <w:bCs/>
          <w:color w:val="auto"/>
          <w:sz w:val="24"/>
          <w:highlight w:val="none"/>
        </w:rPr>
        <w:t>第九条  合同生效及其他</w:t>
      </w:r>
    </w:p>
    <w:p>
      <w:pPr>
        <w:snapToGrid w:val="0"/>
        <w:spacing w:line="460" w:lineRule="exact"/>
        <w:ind w:firstLine="220" w:firstLineChars="100"/>
        <w:rPr>
          <w:rFonts w:ascii="宋体" w:hAnsi="宋体"/>
          <w:color w:val="auto"/>
          <w:sz w:val="22"/>
          <w:highlight w:val="none"/>
        </w:rPr>
      </w:pPr>
      <w:r>
        <w:rPr>
          <w:rFonts w:hint="eastAsia" w:ascii="宋体" w:hAnsi="宋体"/>
          <w:color w:val="auto"/>
          <w:sz w:val="22"/>
          <w:highlight w:val="none"/>
        </w:rPr>
        <w:t>1.合同执行中，如需修改或补充合同内容，经协商，双方应签署书面修改或补充协议。该协议将作为合同不可分割的一部分。</w:t>
      </w:r>
    </w:p>
    <w:p>
      <w:pPr>
        <w:snapToGrid w:val="0"/>
        <w:spacing w:line="460" w:lineRule="exact"/>
        <w:ind w:firstLine="220" w:firstLineChars="100"/>
        <w:rPr>
          <w:rFonts w:ascii="宋体" w:hAnsi="宋体"/>
          <w:color w:val="auto"/>
          <w:sz w:val="22"/>
          <w:highlight w:val="none"/>
        </w:rPr>
      </w:pPr>
      <w:r>
        <w:rPr>
          <w:rFonts w:hint="eastAsia" w:ascii="宋体" w:hAnsi="宋体"/>
          <w:color w:val="auto"/>
          <w:sz w:val="22"/>
          <w:highlight w:val="none"/>
        </w:rPr>
        <w:t>2.采购文件、补充文件、投标文件及询标答疑纪要、中标通知书等作为本合同的附件，与本合同具有同等法律效力。</w:t>
      </w:r>
    </w:p>
    <w:p>
      <w:pPr>
        <w:snapToGrid w:val="0"/>
        <w:spacing w:line="460" w:lineRule="exact"/>
        <w:ind w:firstLine="220" w:firstLineChars="100"/>
        <w:rPr>
          <w:rFonts w:ascii="宋体" w:hAnsi="宋体"/>
          <w:color w:val="auto"/>
          <w:sz w:val="22"/>
          <w:highlight w:val="none"/>
        </w:rPr>
      </w:pPr>
      <w:r>
        <w:rPr>
          <w:rFonts w:hint="eastAsia" w:ascii="宋体" w:hAnsi="宋体"/>
          <w:color w:val="auto"/>
          <w:sz w:val="22"/>
          <w:highlight w:val="none"/>
        </w:rPr>
        <w:t>3.</w:t>
      </w:r>
      <w:r>
        <w:rPr>
          <w:rFonts w:hint="eastAsia" w:ascii="宋体" w:hAnsi="宋体"/>
          <w:color w:val="auto"/>
          <w:szCs w:val="21"/>
          <w:highlight w:val="none"/>
        </w:rPr>
        <w:t xml:space="preserve"> 本合同争议，应双方友好协商解决，协商不能解决的，任何一方均可向甲方所在地人民法院提起诉讼 。</w:t>
      </w:r>
    </w:p>
    <w:p>
      <w:pPr>
        <w:snapToGrid w:val="0"/>
        <w:spacing w:line="460" w:lineRule="exact"/>
        <w:ind w:firstLine="220" w:firstLineChars="100"/>
        <w:rPr>
          <w:rFonts w:ascii="宋体" w:hAnsi="宋体"/>
          <w:color w:val="auto"/>
          <w:sz w:val="22"/>
          <w:highlight w:val="none"/>
        </w:rPr>
      </w:pPr>
      <w:r>
        <w:rPr>
          <w:rFonts w:hint="eastAsia" w:ascii="宋体" w:hAnsi="宋体"/>
          <w:color w:val="auto"/>
          <w:sz w:val="22"/>
          <w:highlight w:val="none"/>
        </w:rPr>
        <w:t>4.</w:t>
      </w:r>
      <w:r>
        <w:rPr>
          <w:rFonts w:ascii="宋体" w:hAnsi="宋体"/>
          <w:color w:val="auto"/>
          <w:szCs w:val="21"/>
          <w:highlight w:val="none"/>
        </w:rPr>
        <w:t>本合同</w:t>
      </w:r>
      <w:r>
        <w:rPr>
          <w:rFonts w:ascii="宋体" w:hAnsi="宋体" w:cs="Arial"/>
          <w:color w:val="auto"/>
          <w:highlight w:val="none"/>
        </w:rPr>
        <w:t>一式五份，甲</w:t>
      </w:r>
      <w:r>
        <w:rPr>
          <w:rFonts w:hint="eastAsia" w:ascii="宋体" w:hAnsi="宋体" w:cs="Arial"/>
          <w:color w:val="auto"/>
          <w:highlight w:val="none"/>
        </w:rPr>
        <w:t>、</w:t>
      </w:r>
      <w:r>
        <w:rPr>
          <w:rFonts w:ascii="宋体" w:hAnsi="宋体" w:cs="Arial"/>
          <w:color w:val="auto"/>
          <w:highlight w:val="none"/>
        </w:rPr>
        <w:t>乙双方执</w:t>
      </w:r>
      <w:r>
        <w:rPr>
          <w:rFonts w:hint="eastAsia" w:ascii="宋体" w:hAnsi="宋体" w:cs="Arial"/>
          <w:color w:val="auto"/>
          <w:highlight w:val="none"/>
        </w:rPr>
        <w:t>二</w:t>
      </w:r>
      <w:r>
        <w:rPr>
          <w:rFonts w:ascii="宋体" w:hAnsi="宋体" w:cs="Arial"/>
          <w:color w:val="auto"/>
          <w:highlight w:val="none"/>
        </w:rPr>
        <w:t>份,</w:t>
      </w:r>
      <w:r>
        <w:rPr>
          <w:rFonts w:hint="eastAsia" w:ascii="宋体" w:hAnsi="宋体" w:cs="Arial"/>
          <w:color w:val="auto"/>
          <w:highlight w:val="none"/>
        </w:rPr>
        <w:t>采购代理机构备案一份，</w:t>
      </w:r>
      <w:r>
        <w:rPr>
          <w:rFonts w:ascii="宋体" w:hAnsi="宋体" w:cs="Arial"/>
          <w:color w:val="auto"/>
          <w:highlight w:val="none"/>
        </w:rPr>
        <w:t>均具有同等法律效力,自甲乙双方签字盖章之日起生效。</w:t>
      </w:r>
      <w:r>
        <w:rPr>
          <w:rFonts w:hint="eastAsia" w:ascii="宋体" w:hAnsi="宋体" w:cs="Arial"/>
          <w:color w:val="auto"/>
          <w:highlight w:val="none"/>
        </w:rPr>
        <w:t xml:space="preserve"> </w:t>
      </w:r>
    </w:p>
    <w:p>
      <w:pPr>
        <w:pStyle w:val="14"/>
        <w:snapToGrid w:val="0"/>
        <w:spacing w:line="400" w:lineRule="exact"/>
        <w:rPr>
          <w:rFonts w:hAnsi="宋体" w:cs="Arial"/>
          <w:color w:val="auto"/>
          <w:highlight w:val="none"/>
        </w:rPr>
      </w:pPr>
    </w:p>
    <w:p>
      <w:pPr>
        <w:pStyle w:val="14"/>
        <w:snapToGrid w:val="0"/>
        <w:spacing w:line="400" w:lineRule="exact"/>
        <w:rPr>
          <w:rFonts w:hAnsi="宋体" w:cs="Arial"/>
          <w:color w:val="auto"/>
          <w:highlight w:val="none"/>
        </w:rPr>
      </w:pPr>
      <w:r>
        <w:rPr>
          <w:rFonts w:hAnsi="宋体" w:cs="Arial"/>
          <w:color w:val="auto"/>
          <w:highlight w:val="none"/>
        </w:rPr>
        <w:t>甲方：                                                 乙方：</w:t>
      </w:r>
    </w:p>
    <w:p>
      <w:pPr>
        <w:pStyle w:val="14"/>
        <w:snapToGrid w:val="0"/>
        <w:spacing w:line="400" w:lineRule="exact"/>
        <w:rPr>
          <w:rFonts w:hAnsi="宋体" w:cs="Arial"/>
          <w:color w:val="auto"/>
          <w:highlight w:val="none"/>
        </w:rPr>
      </w:pPr>
      <w:r>
        <w:rPr>
          <w:rFonts w:hAnsi="宋体" w:cs="Arial"/>
          <w:color w:val="auto"/>
          <w:highlight w:val="none"/>
        </w:rPr>
        <w:t>（盖章）                                              （盖章）</w:t>
      </w:r>
    </w:p>
    <w:p>
      <w:pPr>
        <w:pStyle w:val="14"/>
        <w:snapToGrid w:val="0"/>
        <w:spacing w:line="400" w:lineRule="exact"/>
        <w:rPr>
          <w:rFonts w:hAnsi="宋体" w:cs="Arial"/>
          <w:color w:val="auto"/>
          <w:highlight w:val="none"/>
        </w:rPr>
      </w:pPr>
      <w:r>
        <w:rPr>
          <w:rFonts w:hAnsi="宋体" w:cs="Arial"/>
          <w:color w:val="auto"/>
          <w:highlight w:val="none"/>
        </w:rPr>
        <w:t>授权代表（签字）：                                     授权代表（签字）：</w:t>
      </w:r>
    </w:p>
    <w:p>
      <w:pPr>
        <w:pStyle w:val="14"/>
        <w:snapToGrid w:val="0"/>
        <w:spacing w:line="400" w:lineRule="exact"/>
        <w:rPr>
          <w:rFonts w:hAnsi="宋体" w:cs="Arial"/>
          <w:color w:val="auto"/>
          <w:highlight w:val="none"/>
        </w:rPr>
      </w:pPr>
      <w:r>
        <w:rPr>
          <w:rFonts w:hAnsi="宋体" w:cs="Arial"/>
          <w:color w:val="auto"/>
          <w:highlight w:val="none"/>
        </w:rPr>
        <w:t>地址：                                                 地址：</w:t>
      </w:r>
    </w:p>
    <w:p>
      <w:pPr>
        <w:pStyle w:val="14"/>
        <w:snapToGrid w:val="0"/>
        <w:spacing w:line="400" w:lineRule="exact"/>
        <w:rPr>
          <w:rFonts w:hAnsi="宋体" w:cs="Arial"/>
          <w:color w:val="auto"/>
          <w:highlight w:val="none"/>
        </w:rPr>
      </w:pPr>
      <w:r>
        <w:rPr>
          <w:rFonts w:hAnsi="宋体" w:cs="Arial"/>
          <w:color w:val="auto"/>
          <w:highlight w:val="none"/>
        </w:rPr>
        <w:t>邮政编码：                                             邮政编码：</w:t>
      </w:r>
    </w:p>
    <w:p>
      <w:pPr>
        <w:pStyle w:val="14"/>
        <w:snapToGrid w:val="0"/>
        <w:spacing w:line="400" w:lineRule="exact"/>
        <w:rPr>
          <w:rFonts w:hAnsi="宋体" w:cs="Arial"/>
          <w:color w:val="auto"/>
          <w:highlight w:val="none"/>
        </w:rPr>
      </w:pPr>
      <w:r>
        <w:rPr>
          <w:rFonts w:hAnsi="宋体" w:cs="Arial"/>
          <w:color w:val="auto"/>
          <w:highlight w:val="none"/>
        </w:rPr>
        <w:t>电话：                                                 电话：</w:t>
      </w:r>
    </w:p>
    <w:p>
      <w:pPr>
        <w:pStyle w:val="14"/>
        <w:snapToGrid w:val="0"/>
        <w:spacing w:line="400" w:lineRule="exact"/>
        <w:rPr>
          <w:rFonts w:hAnsi="宋体" w:cs="Arial"/>
          <w:color w:val="auto"/>
          <w:highlight w:val="none"/>
        </w:rPr>
      </w:pPr>
      <w:r>
        <w:rPr>
          <w:rFonts w:hAnsi="宋体" w:cs="Arial"/>
          <w:color w:val="auto"/>
          <w:highlight w:val="none"/>
        </w:rPr>
        <w:t>传真：                                                 传真：</w:t>
      </w:r>
    </w:p>
    <w:p>
      <w:pPr>
        <w:pStyle w:val="14"/>
        <w:snapToGrid w:val="0"/>
        <w:spacing w:line="400" w:lineRule="exact"/>
        <w:rPr>
          <w:rFonts w:hAnsi="宋体" w:cs="Arial"/>
          <w:color w:val="auto"/>
          <w:highlight w:val="none"/>
        </w:rPr>
      </w:pPr>
      <w:r>
        <w:rPr>
          <w:rFonts w:hAnsi="宋体" w:cs="Arial"/>
          <w:color w:val="auto"/>
          <w:highlight w:val="none"/>
        </w:rPr>
        <w:t>开户银行：                                             开户银行：</w:t>
      </w:r>
    </w:p>
    <w:p>
      <w:pPr>
        <w:spacing w:line="360" w:lineRule="auto"/>
        <w:rPr>
          <w:rFonts w:ascii="宋体" w:hAnsi="宋体"/>
          <w:color w:val="auto"/>
          <w:szCs w:val="21"/>
          <w:highlight w:val="none"/>
        </w:rPr>
      </w:pPr>
      <w:r>
        <w:rPr>
          <w:rFonts w:ascii="宋体" w:hAnsi="宋体" w:cs="Arial"/>
          <w:color w:val="auto"/>
          <w:highlight w:val="none"/>
        </w:rPr>
        <w:t>账号：                                                 账号：</w:t>
      </w:r>
      <w:r>
        <w:rPr>
          <w:rFonts w:hint="eastAsia" w:ascii="宋体" w:hAnsi="宋体"/>
          <w:color w:val="auto"/>
          <w:szCs w:val="21"/>
          <w:highlight w:val="none"/>
        </w:rPr>
        <w:t xml:space="preserve">                        </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pStyle w:val="10"/>
        <w:rPr>
          <w:color w:val="auto"/>
          <w:highlight w:val="none"/>
        </w:rPr>
      </w:pPr>
      <w:r>
        <w:rPr>
          <w:rFonts w:ascii="宋体" w:hAnsi="宋体" w:cs="Arial"/>
          <w:b/>
          <w:color w:val="auto"/>
          <w:highlight w:val="none"/>
        </w:rPr>
        <w:t>注：</w:t>
      </w:r>
      <w:r>
        <w:rPr>
          <w:rFonts w:ascii="宋体" w:hAnsi="宋体" w:cs="Arial"/>
          <w:b/>
          <w:color w:val="auto"/>
          <w:highlight w:val="none"/>
          <w:u w:val="single"/>
        </w:rPr>
        <w:t>本合同</w:t>
      </w:r>
      <w:r>
        <w:rPr>
          <w:rFonts w:hint="eastAsia" w:ascii="宋体" w:hAnsi="宋体"/>
          <w:b/>
          <w:color w:val="auto"/>
          <w:sz w:val="22"/>
          <w:szCs w:val="22"/>
          <w:highlight w:val="none"/>
          <w:u w:val="single"/>
        </w:rPr>
        <w:t>仅为合同书样本，中标单位需根据实际情况与采购人签订正式合同</w:t>
      </w:r>
      <w:r>
        <w:rPr>
          <w:rFonts w:hint="eastAsia" w:ascii="宋体" w:hAnsi="宋体"/>
          <w:b/>
          <w:color w:val="auto"/>
          <w:sz w:val="22"/>
          <w:szCs w:val="22"/>
          <w:highlight w:val="none"/>
        </w:rPr>
        <w:t>。</w:t>
      </w:r>
    </w:p>
    <w:p>
      <w:pPr>
        <w:rPr>
          <w:color w:val="auto"/>
          <w:szCs w:val="21"/>
          <w:highlight w:val="none"/>
        </w:rPr>
      </w:pPr>
    </w:p>
    <w:p>
      <w:pPr>
        <w:rPr>
          <w:rFonts w:ascii="宋体" w:hAnsi="宋体"/>
          <w:color w:val="auto"/>
          <w:highlight w:val="none"/>
        </w:rPr>
      </w:pPr>
    </w:p>
    <w:p>
      <w:pPr>
        <w:pStyle w:val="9"/>
        <w:ind w:firstLine="210"/>
        <w:rPr>
          <w:rFonts w:ascii="宋体" w:hAnsi="宋体"/>
          <w:color w:val="auto"/>
          <w:highlight w:val="none"/>
        </w:rPr>
      </w:pPr>
    </w:p>
    <w:p>
      <w:pPr>
        <w:pStyle w:val="11"/>
        <w:rPr>
          <w:rFonts w:ascii="宋体" w:hAnsi="宋体"/>
          <w:color w:val="auto"/>
          <w:highlight w:val="none"/>
        </w:rPr>
      </w:pPr>
    </w:p>
    <w:p>
      <w:pPr>
        <w:rPr>
          <w:rFonts w:ascii="宋体" w:hAnsi="宋体"/>
          <w:color w:val="auto"/>
          <w:highlight w:val="none"/>
        </w:rPr>
      </w:pPr>
    </w:p>
    <w:p>
      <w:pPr>
        <w:pStyle w:val="9"/>
        <w:ind w:firstLine="210"/>
        <w:rPr>
          <w:rFonts w:ascii="宋体" w:hAnsi="宋体"/>
          <w:color w:val="auto"/>
          <w:highlight w:val="none"/>
        </w:rPr>
      </w:pPr>
    </w:p>
    <w:p>
      <w:pPr>
        <w:pStyle w:val="11"/>
        <w:rPr>
          <w:rFonts w:ascii="宋体" w:hAnsi="宋体"/>
          <w:color w:val="auto"/>
          <w:highlight w:val="none"/>
        </w:rPr>
      </w:pPr>
    </w:p>
    <w:p>
      <w:pPr>
        <w:rPr>
          <w:rFonts w:ascii="宋体" w:hAnsi="宋体"/>
          <w:color w:val="auto"/>
          <w:highlight w:val="none"/>
        </w:rPr>
      </w:pPr>
    </w:p>
    <w:p>
      <w:pPr>
        <w:pStyle w:val="9"/>
        <w:ind w:firstLine="210"/>
        <w:rPr>
          <w:rFonts w:ascii="宋体" w:hAnsi="宋体"/>
          <w:color w:val="auto"/>
          <w:highlight w:val="none"/>
        </w:rPr>
      </w:pPr>
    </w:p>
    <w:p>
      <w:pPr>
        <w:pStyle w:val="11"/>
        <w:rPr>
          <w:rFonts w:ascii="宋体" w:hAnsi="宋体"/>
          <w:color w:val="auto"/>
          <w:highlight w:val="none"/>
        </w:rPr>
      </w:pPr>
    </w:p>
    <w:p>
      <w:pPr>
        <w:rPr>
          <w:rFonts w:ascii="宋体" w:hAnsi="宋体"/>
          <w:color w:val="auto"/>
          <w:highlight w:val="none"/>
        </w:rPr>
      </w:pPr>
    </w:p>
    <w:p>
      <w:pPr>
        <w:pStyle w:val="9"/>
        <w:ind w:firstLine="210"/>
        <w:rPr>
          <w:rFonts w:ascii="宋体" w:hAnsi="宋体"/>
          <w:color w:val="auto"/>
          <w:highlight w:val="none"/>
        </w:rPr>
      </w:pPr>
    </w:p>
    <w:p>
      <w:pPr>
        <w:pStyle w:val="11"/>
        <w:rPr>
          <w:rFonts w:ascii="宋体" w:hAnsi="宋体"/>
          <w:color w:val="auto"/>
          <w:highlight w:val="none"/>
        </w:rPr>
      </w:pPr>
    </w:p>
    <w:p>
      <w:pPr>
        <w:rPr>
          <w:rFonts w:ascii="宋体" w:hAnsi="宋体"/>
          <w:color w:val="auto"/>
          <w:highlight w:val="none"/>
        </w:rPr>
      </w:pPr>
    </w:p>
    <w:p>
      <w:pPr>
        <w:pStyle w:val="9"/>
        <w:ind w:firstLine="210"/>
        <w:rPr>
          <w:rFonts w:ascii="宋体" w:hAnsi="宋体"/>
          <w:color w:val="auto"/>
          <w:highlight w:val="none"/>
        </w:rPr>
      </w:pPr>
    </w:p>
    <w:p>
      <w:pPr>
        <w:pStyle w:val="11"/>
        <w:rPr>
          <w:rFonts w:ascii="宋体" w:hAnsi="宋体"/>
          <w:color w:val="auto"/>
          <w:highlight w:val="none"/>
        </w:rPr>
      </w:pPr>
    </w:p>
    <w:p>
      <w:pPr>
        <w:rPr>
          <w:rFonts w:ascii="宋体" w:hAnsi="宋体"/>
          <w:color w:val="auto"/>
          <w:highlight w:val="none"/>
        </w:rPr>
      </w:pPr>
    </w:p>
    <w:p>
      <w:pPr>
        <w:pStyle w:val="9"/>
        <w:ind w:firstLine="210"/>
        <w:rPr>
          <w:rFonts w:ascii="宋体" w:hAnsi="宋体"/>
          <w:color w:val="auto"/>
          <w:highlight w:val="none"/>
        </w:rPr>
      </w:pPr>
    </w:p>
    <w:p>
      <w:pPr>
        <w:pStyle w:val="11"/>
        <w:rPr>
          <w:rFonts w:ascii="宋体" w:hAnsi="宋体"/>
          <w:color w:val="auto"/>
          <w:highlight w:val="none"/>
        </w:rPr>
      </w:pPr>
    </w:p>
    <w:p>
      <w:pPr>
        <w:rPr>
          <w:rFonts w:ascii="宋体" w:hAnsi="宋体"/>
          <w:color w:val="auto"/>
          <w:highlight w:val="none"/>
        </w:rPr>
      </w:pPr>
    </w:p>
    <w:p>
      <w:pPr>
        <w:pStyle w:val="9"/>
        <w:ind w:firstLine="210"/>
        <w:rPr>
          <w:rFonts w:ascii="宋体" w:hAnsi="宋体"/>
          <w:color w:val="auto"/>
          <w:highlight w:val="none"/>
        </w:rPr>
      </w:pPr>
    </w:p>
    <w:p>
      <w:pPr>
        <w:pStyle w:val="11"/>
        <w:rPr>
          <w:rFonts w:ascii="宋体" w:hAnsi="宋体"/>
          <w:color w:val="auto"/>
          <w:highlight w:val="none"/>
        </w:rPr>
      </w:pPr>
    </w:p>
    <w:p>
      <w:pPr>
        <w:rPr>
          <w:rFonts w:ascii="宋体" w:hAnsi="宋体"/>
          <w:color w:val="auto"/>
          <w:highlight w:val="none"/>
        </w:rPr>
      </w:pPr>
    </w:p>
    <w:p>
      <w:pPr>
        <w:pStyle w:val="9"/>
        <w:ind w:firstLine="210"/>
        <w:rPr>
          <w:rFonts w:ascii="宋体" w:hAnsi="宋体"/>
          <w:color w:val="auto"/>
          <w:highlight w:val="none"/>
        </w:rPr>
      </w:pPr>
    </w:p>
    <w:p>
      <w:pPr>
        <w:pStyle w:val="11"/>
        <w:rPr>
          <w:rFonts w:ascii="宋体" w:hAnsi="宋体"/>
          <w:color w:val="auto"/>
          <w:highlight w:val="none"/>
        </w:rPr>
      </w:pPr>
    </w:p>
    <w:p>
      <w:pPr>
        <w:rPr>
          <w:rFonts w:ascii="宋体" w:hAnsi="宋体"/>
          <w:color w:val="auto"/>
          <w:highlight w:val="none"/>
        </w:rPr>
      </w:pPr>
    </w:p>
    <w:p>
      <w:pPr>
        <w:pStyle w:val="9"/>
        <w:ind w:firstLine="210"/>
        <w:rPr>
          <w:rFonts w:ascii="宋体" w:hAnsi="宋体"/>
          <w:color w:val="auto"/>
          <w:highlight w:val="none"/>
        </w:rPr>
      </w:pPr>
    </w:p>
    <w:p>
      <w:pPr>
        <w:pStyle w:val="11"/>
        <w:rPr>
          <w:rFonts w:ascii="宋体" w:hAnsi="宋体"/>
          <w:color w:val="auto"/>
          <w:highlight w:val="none"/>
        </w:rPr>
      </w:pPr>
    </w:p>
    <w:p>
      <w:pPr>
        <w:rPr>
          <w:rFonts w:ascii="宋体" w:hAnsi="宋体"/>
          <w:color w:val="auto"/>
          <w:highlight w:val="none"/>
        </w:rPr>
      </w:pPr>
    </w:p>
    <w:p>
      <w:pPr>
        <w:pStyle w:val="9"/>
        <w:ind w:firstLine="210"/>
        <w:rPr>
          <w:rFonts w:ascii="宋体" w:hAnsi="宋体"/>
          <w:color w:val="auto"/>
          <w:highlight w:val="none"/>
        </w:rPr>
      </w:pPr>
    </w:p>
    <w:p>
      <w:pPr>
        <w:pStyle w:val="11"/>
        <w:rPr>
          <w:rFonts w:ascii="宋体" w:hAnsi="宋体"/>
          <w:color w:val="auto"/>
          <w:highlight w:val="none"/>
        </w:rPr>
      </w:pPr>
    </w:p>
    <w:p>
      <w:pPr>
        <w:rPr>
          <w:rFonts w:ascii="宋体" w:hAnsi="宋体"/>
          <w:color w:val="auto"/>
          <w:highlight w:val="none"/>
        </w:rPr>
      </w:pPr>
    </w:p>
    <w:p>
      <w:pPr>
        <w:pStyle w:val="9"/>
        <w:ind w:firstLine="210"/>
        <w:rPr>
          <w:rFonts w:ascii="宋体" w:hAnsi="宋体"/>
          <w:color w:val="auto"/>
          <w:highlight w:val="none"/>
        </w:rPr>
      </w:pPr>
    </w:p>
    <w:p>
      <w:pPr>
        <w:pStyle w:val="11"/>
        <w:rPr>
          <w:rFonts w:ascii="宋体" w:hAnsi="宋体"/>
          <w:color w:val="auto"/>
          <w:highlight w:val="none"/>
        </w:rPr>
      </w:pPr>
    </w:p>
    <w:p>
      <w:pPr>
        <w:rPr>
          <w:rFonts w:ascii="宋体" w:hAnsi="宋体"/>
          <w:color w:val="auto"/>
          <w:highlight w:val="none"/>
        </w:rPr>
      </w:pPr>
    </w:p>
    <w:p>
      <w:pPr>
        <w:pStyle w:val="9"/>
        <w:ind w:firstLine="210"/>
        <w:rPr>
          <w:rFonts w:ascii="宋体" w:hAnsi="宋体"/>
          <w:color w:val="auto"/>
          <w:highlight w:val="none"/>
        </w:rPr>
      </w:pPr>
    </w:p>
    <w:p>
      <w:pPr>
        <w:pStyle w:val="11"/>
        <w:rPr>
          <w:rFonts w:ascii="宋体" w:hAnsi="宋体"/>
          <w:color w:val="auto"/>
          <w:highlight w:val="none"/>
        </w:rPr>
      </w:pPr>
    </w:p>
    <w:p>
      <w:pPr>
        <w:rPr>
          <w:rFonts w:ascii="宋体" w:hAnsi="宋体"/>
          <w:color w:val="auto"/>
          <w:highlight w:val="none"/>
        </w:rPr>
      </w:pPr>
    </w:p>
    <w:p>
      <w:pPr>
        <w:pStyle w:val="9"/>
        <w:ind w:firstLine="210"/>
        <w:rPr>
          <w:rFonts w:ascii="宋体" w:hAnsi="宋体"/>
          <w:color w:val="auto"/>
          <w:highlight w:val="none"/>
        </w:rPr>
      </w:pPr>
    </w:p>
    <w:p>
      <w:pPr>
        <w:pStyle w:val="11"/>
        <w:rPr>
          <w:rFonts w:ascii="宋体" w:hAnsi="宋体"/>
          <w:color w:val="auto"/>
          <w:highlight w:val="none"/>
        </w:rPr>
      </w:pPr>
    </w:p>
    <w:p>
      <w:pPr>
        <w:rPr>
          <w:rFonts w:ascii="宋体" w:hAnsi="宋体"/>
          <w:color w:val="auto"/>
          <w:highlight w:val="none"/>
        </w:rPr>
      </w:pPr>
    </w:p>
    <w:p>
      <w:pPr>
        <w:pStyle w:val="9"/>
        <w:ind w:firstLine="210"/>
        <w:rPr>
          <w:color w:val="auto"/>
          <w:highlight w:val="none"/>
        </w:rPr>
      </w:pPr>
    </w:p>
    <w:p>
      <w:pPr>
        <w:pStyle w:val="10"/>
        <w:spacing w:after="0" w:line="360" w:lineRule="auto"/>
        <w:ind w:right="20" w:firstLine="420" w:firstLineChars="200"/>
        <w:rPr>
          <w:rFonts w:ascii="宋体" w:hAnsi="宋体" w:eastAsia="宋体" w:cs="宋体"/>
          <w:color w:val="auto"/>
          <w:szCs w:val="21"/>
          <w:highlight w:val="none"/>
        </w:rPr>
      </w:pPr>
    </w:p>
    <w:p>
      <w:pPr>
        <w:pStyle w:val="9"/>
        <w:rPr>
          <w:rFonts w:ascii="宋体" w:hAnsi="宋体" w:eastAsia="宋体" w:cs="宋体"/>
          <w:color w:val="auto"/>
          <w:szCs w:val="21"/>
          <w:highlight w:val="none"/>
        </w:rPr>
      </w:pPr>
    </w:p>
    <w:p>
      <w:pPr>
        <w:pStyle w:val="11"/>
        <w:rPr>
          <w:rFonts w:ascii="宋体" w:hAnsi="宋体" w:eastAsia="宋体" w:cs="宋体"/>
          <w:color w:val="auto"/>
          <w:szCs w:val="21"/>
          <w:highlight w:val="none"/>
        </w:rPr>
      </w:pPr>
    </w:p>
    <w:p>
      <w:pPr>
        <w:rPr>
          <w:color w:val="auto"/>
          <w:highlight w:val="none"/>
        </w:rPr>
      </w:pPr>
    </w:p>
    <w:p>
      <w:pPr>
        <w:spacing w:line="440" w:lineRule="exact"/>
        <w:rPr>
          <w:rFonts w:hint="eastAsia" w:ascii="宋体" w:hAnsi="宋体"/>
          <w:color w:val="auto"/>
          <w:kern w:val="0"/>
          <w:szCs w:val="21"/>
          <w:highlight w:val="none"/>
        </w:rPr>
        <w:sectPr>
          <w:footerReference r:id="rId3" w:type="default"/>
          <w:pgSz w:w="11900" w:h="16838"/>
          <w:pgMar w:top="1134" w:right="1134" w:bottom="1134" w:left="1134" w:header="737" w:footer="737" w:gutter="0"/>
          <w:pgBorders>
            <w:top w:val="none" w:sz="0" w:space="0"/>
            <w:left w:val="none" w:sz="0" w:space="0"/>
            <w:bottom w:val="none" w:sz="0" w:space="0"/>
            <w:right w:val="none" w:sz="0" w:space="0"/>
          </w:pgBorders>
          <w:pgNumType w:start="1"/>
          <w:cols w:space="720" w:num="1"/>
          <w:docGrid w:linePitch="312" w:charSpace="0"/>
        </w:sectPr>
      </w:pPr>
    </w:p>
    <w:p>
      <w:pPr>
        <w:spacing w:line="440" w:lineRule="exact"/>
        <w:rPr>
          <w:rFonts w:hint="eastAsia" w:ascii="宋体" w:hAnsi="宋体" w:eastAsia="宋体" w:cs="Arial"/>
          <w:color w:val="auto"/>
          <w:szCs w:val="21"/>
          <w:highlight w:val="none"/>
          <w:lang w:val="en-US" w:eastAsia="zh-CN"/>
        </w:rPr>
      </w:pPr>
      <w:r>
        <w:rPr>
          <w:rFonts w:hint="eastAsia" w:ascii="宋体" w:hAnsi="宋体"/>
          <w:color w:val="auto"/>
          <w:kern w:val="0"/>
          <w:szCs w:val="21"/>
          <w:highlight w:val="none"/>
        </w:rPr>
        <w:t>附表</w:t>
      </w:r>
      <w:r>
        <w:rPr>
          <w:rFonts w:hint="eastAsia" w:ascii="宋体" w:hAnsi="宋体"/>
          <w:color w:val="auto"/>
          <w:kern w:val="0"/>
          <w:szCs w:val="21"/>
          <w:highlight w:val="none"/>
          <w:lang w:val="en-US" w:eastAsia="zh-CN"/>
        </w:rPr>
        <w:t>1</w:t>
      </w:r>
    </w:p>
    <w:p>
      <w:pPr>
        <w:spacing w:line="440" w:lineRule="exact"/>
        <w:jc w:val="center"/>
        <w:rPr>
          <w:rFonts w:ascii="宋体" w:hAnsi="宋体"/>
          <w:color w:val="auto"/>
          <w:kern w:val="0"/>
          <w:sz w:val="32"/>
          <w:szCs w:val="32"/>
          <w:highlight w:val="none"/>
        </w:rPr>
      </w:pPr>
      <w:r>
        <w:rPr>
          <w:rFonts w:hint="eastAsia" w:ascii="宋体" w:hAnsi="宋体"/>
          <w:color w:val="auto"/>
          <w:kern w:val="0"/>
          <w:sz w:val="32"/>
          <w:szCs w:val="32"/>
          <w:highlight w:val="none"/>
        </w:rPr>
        <w:t>管理服务目标考核表</w:t>
      </w:r>
    </w:p>
    <w:tbl>
      <w:tblPr>
        <w:tblStyle w:val="27"/>
        <w:tblW w:w="9864" w:type="dxa"/>
        <w:jc w:val="center"/>
        <w:tblInd w:w="0" w:type="dxa"/>
        <w:tblLayout w:type="fixed"/>
        <w:tblCellMar>
          <w:top w:w="0" w:type="dxa"/>
          <w:left w:w="108" w:type="dxa"/>
          <w:bottom w:w="0" w:type="dxa"/>
          <w:right w:w="108" w:type="dxa"/>
        </w:tblCellMar>
      </w:tblPr>
      <w:tblGrid>
        <w:gridCol w:w="708"/>
        <w:gridCol w:w="1464"/>
        <w:gridCol w:w="4594"/>
        <w:gridCol w:w="1955"/>
        <w:gridCol w:w="1143"/>
        <w:tblGridChange w:id="59">
          <w:tblGrid>
            <w:gridCol w:w="708"/>
            <w:gridCol w:w="1464"/>
            <w:gridCol w:w="4594"/>
            <w:gridCol w:w="1955"/>
            <w:gridCol w:w="1143"/>
          </w:tblGrid>
        </w:tblGridChange>
      </w:tblGrid>
      <w:tr>
        <w:tblPrEx>
          <w:tblLayout w:type="fixed"/>
          <w:tblCellMar>
            <w:top w:w="0" w:type="dxa"/>
            <w:left w:w="108" w:type="dxa"/>
            <w:bottom w:w="0" w:type="dxa"/>
            <w:right w:w="108" w:type="dxa"/>
          </w:tblCellMar>
        </w:tblPrEx>
        <w:trPr>
          <w:trHeight w:val="642"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14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内 容</w:t>
            </w:r>
          </w:p>
        </w:tc>
        <w:tc>
          <w:tcPr>
            <w:tcW w:w="4594"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目   标   要   求</w:t>
            </w:r>
          </w:p>
        </w:tc>
        <w:tc>
          <w:tcPr>
            <w:tcW w:w="19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考  核  标  准</w:t>
            </w:r>
          </w:p>
        </w:tc>
        <w:tc>
          <w:tcPr>
            <w:tcW w:w="11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基本分</w:t>
            </w:r>
          </w:p>
        </w:tc>
      </w:tr>
      <w:tr>
        <w:tblPrEx>
          <w:tblLayout w:type="fixed"/>
          <w:tblCellMar>
            <w:top w:w="0" w:type="dxa"/>
            <w:left w:w="108" w:type="dxa"/>
            <w:bottom w:w="0" w:type="dxa"/>
            <w:right w:w="108" w:type="dxa"/>
          </w:tblCellMar>
        </w:tblPrEx>
        <w:trPr>
          <w:trHeight w:val="373" w:hRule="atLeast"/>
          <w:jc w:val="center"/>
        </w:trPr>
        <w:tc>
          <w:tcPr>
            <w:tcW w:w="70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olor w:val="auto"/>
                <w:kern w:val="0"/>
                <w:sz w:val="24"/>
                <w:highlight w:val="none"/>
              </w:rPr>
            </w:pPr>
            <w:r>
              <w:rPr>
                <w:rFonts w:hint="eastAsia" w:ascii="宋体" w:hAnsi="宋体"/>
                <w:color w:val="auto"/>
                <w:kern w:val="0"/>
                <w:sz w:val="24"/>
                <w:highlight w:val="none"/>
              </w:rPr>
              <w:t>1</w:t>
            </w:r>
          </w:p>
        </w:tc>
        <w:tc>
          <w:tcPr>
            <w:tcW w:w="1464" w:type="dxa"/>
            <w:vMerge w:val="restart"/>
            <w:tcBorders>
              <w:top w:val="nil"/>
              <w:left w:val="single" w:color="auto" w:sz="4" w:space="0"/>
              <w:bottom w:val="single" w:color="000000" w:sz="4" w:space="0"/>
              <w:right w:val="single" w:color="auto" w:sz="4" w:space="0"/>
            </w:tcBorders>
            <w:vAlign w:val="center"/>
          </w:tcPr>
          <w:p>
            <w:pPr>
              <w:widowControl/>
              <w:rPr>
                <w:rFonts w:ascii="宋体" w:hAnsi="宋体" w:cs="宋体"/>
                <w:color w:val="auto"/>
                <w:kern w:val="0"/>
                <w:sz w:val="20"/>
                <w:szCs w:val="20"/>
                <w:highlight w:val="none"/>
              </w:rPr>
            </w:pPr>
            <w:r>
              <w:rPr>
                <w:rFonts w:hint="eastAsia" w:ascii="宋体" w:hAnsi="宋体" w:cs="宋体"/>
                <w:color w:val="auto"/>
                <w:kern w:val="0"/>
                <w:sz w:val="20"/>
                <w:szCs w:val="20"/>
                <w:highlight w:val="none"/>
              </w:rPr>
              <w:t>人员配备及基本要求</w:t>
            </w:r>
          </w:p>
        </w:tc>
        <w:tc>
          <w:tcPr>
            <w:tcW w:w="459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kern w:val="0"/>
                <w:sz w:val="20"/>
                <w:szCs w:val="20"/>
                <w:highlight w:val="none"/>
              </w:rPr>
            </w:pPr>
            <w:r>
              <w:rPr>
                <w:rFonts w:ascii="宋体" w:hAnsi="宋体"/>
                <w:color w:val="auto"/>
                <w:kern w:val="0"/>
                <w:sz w:val="20"/>
                <w:szCs w:val="20"/>
                <w:highlight w:val="none"/>
              </w:rPr>
              <w:t>1</w:t>
            </w:r>
            <w:r>
              <w:rPr>
                <w:rFonts w:hint="eastAsia" w:ascii="宋体" w:hAnsi="宋体"/>
                <w:color w:val="auto"/>
                <w:kern w:val="0"/>
                <w:sz w:val="20"/>
                <w:szCs w:val="20"/>
                <w:highlight w:val="none"/>
              </w:rPr>
              <w:t>、人员编制满员</w:t>
            </w:r>
          </w:p>
        </w:tc>
        <w:tc>
          <w:tcPr>
            <w:tcW w:w="19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r>
      <w:tr>
        <w:tblPrEx>
          <w:tblLayout w:type="fixed"/>
          <w:tblCellMar>
            <w:top w:w="0" w:type="dxa"/>
            <w:left w:w="108" w:type="dxa"/>
            <w:bottom w:w="0" w:type="dxa"/>
            <w:right w:w="108" w:type="dxa"/>
          </w:tblCellMar>
        </w:tblPrEx>
        <w:trPr>
          <w:trHeight w:val="373" w:hRule="atLeast"/>
          <w:jc w:val="center"/>
        </w:trPr>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4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45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2</w:t>
            </w:r>
            <w:r>
              <w:rPr>
                <w:rFonts w:hint="eastAsia" w:ascii="宋体" w:hAnsi="宋体"/>
                <w:color w:val="auto"/>
                <w:kern w:val="0"/>
                <w:sz w:val="20"/>
                <w:szCs w:val="20"/>
                <w:highlight w:val="none"/>
              </w:rPr>
              <w:t>、人员配置岗位合理</w:t>
            </w:r>
          </w:p>
        </w:tc>
        <w:tc>
          <w:tcPr>
            <w:tcW w:w="19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73" w:hRule="atLeast"/>
          <w:jc w:val="center"/>
        </w:trPr>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4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45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olor w:val="auto"/>
                <w:kern w:val="0"/>
                <w:sz w:val="20"/>
                <w:szCs w:val="20"/>
                <w:highlight w:val="none"/>
              </w:rPr>
              <w:t>3、所有人员男性身高是否达到</w:t>
            </w:r>
            <w:r>
              <w:rPr>
                <w:rFonts w:ascii="宋体" w:hAnsi="宋体"/>
                <w:color w:val="auto"/>
                <w:kern w:val="0"/>
                <w:sz w:val="20"/>
                <w:szCs w:val="20"/>
                <w:highlight w:val="none"/>
              </w:rPr>
              <w:t>1.</w:t>
            </w:r>
            <w:r>
              <w:rPr>
                <w:rFonts w:hint="eastAsia" w:ascii="宋体" w:hAnsi="宋体"/>
                <w:color w:val="auto"/>
                <w:kern w:val="0"/>
                <w:sz w:val="20"/>
                <w:szCs w:val="20"/>
                <w:highlight w:val="none"/>
              </w:rPr>
              <w:t>65米以上；其中部队复员、行业立功人员（除外）</w:t>
            </w:r>
          </w:p>
        </w:tc>
        <w:tc>
          <w:tcPr>
            <w:tcW w:w="1955" w:type="dxa"/>
            <w:tcBorders>
              <w:top w:val="nil"/>
              <w:left w:val="nil"/>
              <w:bottom w:val="single" w:color="auto" w:sz="4" w:space="0"/>
              <w:right w:val="single" w:color="auto" w:sz="4" w:space="0"/>
            </w:tcBorders>
            <w:vAlign w:val="center"/>
          </w:tcPr>
          <w:p>
            <w:pPr>
              <w:widowControl/>
              <w:jc w:val="center"/>
              <w:rPr>
                <w:rFonts w:ascii="宋体" w:hAnsi="宋体" w:cs="宋体"/>
                <w:snapToGrid w:val="0"/>
                <w:color w:val="auto"/>
                <w:spacing w:val="-8"/>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r>
      <w:tr>
        <w:tblPrEx>
          <w:tblLayout w:type="fixed"/>
          <w:tblCellMar>
            <w:top w:w="0" w:type="dxa"/>
            <w:left w:w="108" w:type="dxa"/>
            <w:bottom w:w="0" w:type="dxa"/>
            <w:right w:w="108" w:type="dxa"/>
          </w:tblCellMar>
        </w:tblPrEx>
        <w:trPr>
          <w:trHeight w:val="373" w:hRule="atLeast"/>
          <w:jc w:val="center"/>
        </w:trPr>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4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45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olor w:val="auto"/>
                <w:kern w:val="0"/>
                <w:sz w:val="20"/>
                <w:szCs w:val="20"/>
                <w:highlight w:val="none"/>
              </w:rPr>
              <w:t>4、所有人员应符合招标文件年龄要求（管理人员除外）</w:t>
            </w:r>
          </w:p>
        </w:tc>
        <w:tc>
          <w:tcPr>
            <w:tcW w:w="19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r>
      <w:tr>
        <w:tblPrEx>
          <w:tblLayout w:type="fixed"/>
          <w:tblCellMar>
            <w:top w:w="0" w:type="dxa"/>
            <w:left w:w="108" w:type="dxa"/>
            <w:bottom w:w="0" w:type="dxa"/>
            <w:right w:w="108" w:type="dxa"/>
          </w:tblCellMar>
        </w:tblPrEx>
        <w:trPr>
          <w:trHeight w:val="373" w:hRule="atLeast"/>
          <w:jc w:val="center"/>
        </w:trPr>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4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45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olor w:val="auto"/>
                <w:kern w:val="0"/>
                <w:sz w:val="20"/>
                <w:szCs w:val="20"/>
                <w:highlight w:val="none"/>
              </w:rPr>
              <w:t>5、所有人员进出有备案</w:t>
            </w:r>
          </w:p>
        </w:tc>
        <w:tc>
          <w:tcPr>
            <w:tcW w:w="19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73" w:hRule="atLeast"/>
          <w:jc w:val="center"/>
        </w:trPr>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4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45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olor w:val="auto"/>
                <w:kern w:val="0"/>
                <w:sz w:val="20"/>
                <w:szCs w:val="20"/>
                <w:highlight w:val="none"/>
              </w:rPr>
              <w:t>6、聘用的工作人员符合劳动部门有关用工规定，并在岗位时佩带证件上岗</w:t>
            </w:r>
          </w:p>
        </w:tc>
        <w:tc>
          <w:tcPr>
            <w:tcW w:w="19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r>
      <w:tr>
        <w:tblPrEx>
          <w:tblLayout w:type="fixed"/>
          <w:tblCellMar>
            <w:top w:w="0" w:type="dxa"/>
            <w:left w:w="108" w:type="dxa"/>
            <w:bottom w:w="0" w:type="dxa"/>
            <w:right w:w="108" w:type="dxa"/>
          </w:tblCellMar>
        </w:tblPrEx>
        <w:trPr>
          <w:trHeight w:val="373" w:hRule="atLeast"/>
          <w:jc w:val="center"/>
        </w:trPr>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4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45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olor w:val="auto"/>
                <w:kern w:val="0"/>
                <w:sz w:val="20"/>
                <w:szCs w:val="20"/>
                <w:highlight w:val="none"/>
              </w:rPr>
              <w:t>7、人员明确分工负责</w:t>
            </w:r>
          </w:p>
        </w:tc>
        <w:tc>
          <w:tcPr>
            <w:tcW w:w="19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73" w:hRule="atLeast"/>
          <w:jc w:val="center"/>
        </w:trPr>
        <w:tc>
          <w:tcPr>
            <w:tcW w:w="708" w:type="dxa"/>
            <w:vMerge w:val="restart"/>
            <w:tcBorders>
              <w:top w:val="single" w:color="auto" w:sz="4" w:space="0"/>
              <w:left w:val="single" w:color="auto" w:sz="4" w:space="0"/>
              <w:right w:val="single" w:color="auto" w:sz="4" w:space="0"/>
            </w:tcBorders>
            <w:vAlign w:val="center"/>
          </w:tcPr>
          <w:p>
            <w:pPr>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146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设</w:t>
            </w:r>
          </w:p>
        </w:tc>
        <w:tc>
          <w:tcPr>
            <w:tcW w:w="459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kern w:val="0"/>
                <w:sz w:val="20"/>
                <w:szCs w:val="20"/>
                <w:highlight w:val="none"/>
              </w:rPr>
            </w:pPr>
            <w:r>
              <w:rPr>
                <w:rFonts w:ascii="宋体" w:hAnsi="宋体"/>
                <w:color w:val="auto"/>
                <w:kern w:val="0"/>
                <w:sz w:val="20"/>
                <w:szCs w:val="20"/>
                <w:highlight w:val="none"/>
              </w:rPr>
              <w:t>1</w:t>
            </w:r>
            <w:r>
              <w:rPr>
                <w:rFonts w:hint="eastAsia" w:ascii="宋体" w:hAnsi="宋体"/>
                <w:color w:val="auto"/>
                <w:kern w:val="0"/>
                <w:sz w:val="20"/>
                <w:szCs w:val="20"/>
                <w:highlight w:val="none"/>
              </w:rPr>
              <w:t>、消控秩序维护员、消防安全管理、巡逻秩序维护员、大厅、门岗管理等制度建设情况</w:t>
            </w:r>
          </w:p>
        </w:tc>
        <w:tc>
          <w:tcPr>
            <w:tcW w:w="19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73" w:hRule="atLeast"/>
          <w:jc w:val="center"/>
        </w:trPr>
        <w:tc>
          <w:tcPr>
            <w:tcW w:w="708"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464"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highlight w:val="none"/>
              </w:rPr>
            </w:pPr>
          </w:p>
        </w:tc>
        <w:tc>
          <w:tcPr>
            <w:tcW w:w="45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2</w:t>
            </w:r>
            <w:r>
              <w:rPr>
                <w:rFonts w:hint="eastAsia" w:ascii="宋体" w:hAnsi="宋体"/>
                <w:color w:val="auto"/>
                <w:kern w:val="0"/>
                <w:sz w:val="20"/>
                <w:szCs w:val="20"/>
                <w:highlight w:val="none"/>
              </w:rPr>
              <w:t>、人员定岗制度建设及备案情况</w:t>
            </w:r>
          </w:p>
        </w:tc>
        <w:tc>
          <w:tcPr>
            <w:tcW w:w="19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73" w:hRule="atLeast"/>
          <w:jc w:val="center"/>
        </w:trPr>
        <w:tc>
          <w:tcPr>
            <w:tcW w:w="708"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464"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highlight w:val="none"/>
              </w:rPr>
            </w:pPr>
          </w:p>
        </w:tc>
        <w:tc>
          <w:tcPr>
            <w:tcW w:w="45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3</w:t>
            </w:r>
            <w:r>
              <w:rPr>
                <w:rFonts w:hint="eastAsia" w:ascii="宋体" w:hAnsi="宋体"/>
                <w:color w:val="auto"/>
                <w:kern w:val="0"/>
                <w:sz w:val="20"/>
                <w:szCs w:val="20"/>
                <w:highlight w:val="none"/>
              </w:rPr>
              <w:t>、岗位职责是否明确并附书面备案</w:t>
            </w:r>
          </w:p>
        </w:tc>
        <w:tc>
          <w:tcPr>
            <w:tcW w:w="19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r>
      <w:tr>
        <w:tblPrEx>
          <w:tblLayout w:type="fixed"/>
          <w:tblCellMar>
            <w:top w:w="0" w:type="dxa"/>
            <w:left w:w="108" w:type="dxa"/>
            <w:bottom w:w="0" w:type="dxa"/>
            <w:right w:w="108" w:type="dxa"/>
          </w:tblCellMar>
        </w:tblPrEx>
        <w:trPr>
          <w:trHeight w:val="373" w:hRule="atLeast"/>
          <w:jc w:val="center"/>
        </w:trPr>
        <w:tc>
          <w:tcPr>
            <w:tcW w:w="708"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464"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highlight w:val="none"/>
              </w:rPr>
            </w:pPr>
          </w:p>
        </w:tc>
        <w:tc>
          <w:tcPr>
            <w:tcW w:w="45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4</w:t>
            </w:r>
            <w:r>
              <w:rPr>
                <w:rFonts w:hint="eastAsia" w:ascii="宋体" w:hAnsi="宋体"/>
                <w:color w:val="auto"/>
                <w:kern w:val="0"/>
                <w:sz w:val="20"/>
                <w:szCs w:val="20"/>
                <w:highlight w:val="none"/>
              </w:rPr>
              <w:t>、所有秩序维护员人员守则制度、人员纪律建设、秩序维护员员权限制度、秩序维护员保密原则等制度建设是否完善</w:t>
            </w:r>
          </w:p>
        </w:tc>
        <w:tc>
          <w:tcPr>
            <w:tcW w:w="1955" w:type="dxa"/>
            <w:tcBorders>
              <w:top w:val="nil"/>
              <w:left w:val="nil"/>
              <w:bottom w:val="single" w:color="auto" w:sz="4" w:space="0"/>
              <w:right w:val="single" w:color="auto" w:sz="4" w:space="0"/>
            </w:tcBorders>
            <w:vAlign w:val="center"/>
          </w:tcPr>
          <w:p>
            <w:pPr>
              <w:widowControl/>
              <w:jc w:val="center"/>
              <w:rPr>
                <w:rFonts w:ascii="宋体" w:hAnsi="宋体" w:cs="宋体"/>
                <w:snapToGrid w:val="0"/>
                <w:color w:val="auto"/>
                <w:spacing w:val="-8"/>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Change w:id="60" w:author="张弓达" w:date="2021-09-07T15:39:16Z">
            <w:tblPrEx>
              <w:tblW w:w="9864" w:type="dxa"/>
              <w:tblLayout w:type="fixed"/>
              <w:tblCellMar>
                <w:top w:w="0" w:type="dxa"/>
                <w:left w:w="108" w:type="dxa"/>
                <w:bottom w:w="0" w:type="dxa"/>
                <w:right w:w="108" w:type="dxa"/>
              </w:tblCellMar>
            </w:tblPrEx>
          </w:tblPrExChange>
        </w:tblPrEx>
        <w:trPr>
          <w:trHeight w:val="373" w:hRule="atLeast"/>
          <w:jc w:val="center"/>
          <w:trPrChange w:id="60" w:author="张弓达" w:date="2021-09-07T15:39:16Z">
            <w:trPr>
              <w:trHeight w:val="373" w:hRule="atLeast"/>
              <w:jc w:val="center"/>
            </w:trPr>
          </w:trPrChange>
        </w:trPr>
        <w:tc>
          <w:tcPr>
            <w:tcW w:w="708" w:type="dxa"/>
            <w:vMerge w:val="continue"/>
            <w:tcBorders>
              <w:left w:val="single" w:color="auto" w:sz="4" w:space="0"/>
              <w:right w:val="single" w:color="auto" w:sz="4" w:space="0"/>
            </w:tcBorders>
            <w:vAlign w:val="center"/>
            <w:tcPrChange w:id="61" w:author="张弓达" w:date="2021-09-07T15:39:16Z">
              <w:tcPr>
                <w:tcW w:w="708" w:type="dxa"/>
                <w:vMerge w:val="continue"/>
                <w:tcBorders>
                  <w:left w:val="single" w:color="auto" w:sz="4" w:space="0"/>
                  <w:right w:val="single" w:color="auto" w:sz="4" w:space="0"/>
                </w:tcBorders>
                <w:vAlign w:val="center"/>
              </w:tcPr>
            </w:tcPrChange>
          </w:tcPr>
          <w:p>
            <w:pPr>
              <w:widowControl/>
              <w:jc w:val="left"/>
              <w:rPr>
                <w:rFonts w:ascii="宋体" w:hAnsi="宋体" w:cs="宋体"/>
                <w:color w:val="auto"/>
                <w:kern w:val="0"/>
                <w:sz w:val="20"/>
                <w:szCs w:val="20"/>
                <w:highlight w:val="none"/>
              </w:rPr>
            </w:pPr>
          </w:p>
        </w:tc>
        <w:tc>
          <w:tcPr>
            <w:tcW w:w="1464" w:type="dxa"/>
            <w:vMerge w:val="continue"/>
            <w:tcBorders>
              <w:left w:val="single" w:color="auto" w:sz="4" w:space="0"/>
              <w:right w:val="single" w:color="auto" w:sz="4" w:space="0"/>
            </w:tcBorders>
            <w:vAlign w:val="center"/>
            <w:tcPrChange w:id="62" w:author="张弓达" w:date="2021-09-07T15:39:16Z">
              <w:tcPr>
                <w:tcW w:w="1464" w:type="dxa"/>
                <w:vMerge w:val="continue"/>
                <w:tcBorders>
                  <w:left w:val="single" w:color="auto" w:sz="4" w:space="0"/>
                  <w:right w:val="single" w:color="auto" w:sz="4" w:space="0"/>
                </w:tcBorders>
                <w:vAlign w:val="center"/>
              </w:tcPr>
            </w:tcPrChange>
          </w:tcPr>
          <w:p>
            <w:pPr>
              <w:widowControl/>
              <w:jc w:val="left"/>
              <w:rPr>
                <w:rFonts w:ascii="宋体" w:hAnsi="宋体" w:cs="宋体"/>
                <w:color w:val="auto"/>
                <w:kern w:val="0"/>
                <w:sz w:val="24"/>
                <w:highlight w:val="none"/>
              </w:rPr>
            </w:pPr>
          </w:p>
        </w:tc>
        <w:tc>
          <w:tcPr>
            <w:tcW w:w="4594" w:type="dxa"/>
            <w:tcBorders>
              <w:top w:val="single" w:color="auto" w:sz="4" w:space="0"/>
              <w:left w:val="single" w:color="auto" w:sz="4" w:space="0"/>
              <w:bottom w:val="single" w:color="auto" w:sz="4" w:space="0"/>
              <w:right w:val="single" w:color="auto" w:sz="4" w:space="0"/>
            </w:tcBorders>
            <w:vAlign w:val="center"/>
            <w:tcPrChange w:id="63" w:author="张弓达" w:date="2021-09-07T15:39:16Z">
              <w:tcPr>
                <w:tcW w:w="4594" w:type="dxa"/>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5</w:t>
            </w:r>
            <w:r>
              <w:rPr>
                <w:rFonts w:hint="eastAsia" w:ascii="宋体" w:hAnsi="宋体"/>
                <w:color w:val="auto"/>
                <w:kern w:val="0"/>
                <w:sz w:val="20"/>
                <w:szCs w:val="20"/>
                <w:highlight w:val="none"/>
              </w:rPr>
              <w:t>、秩序维护员员的交接班制度、考勤制度、公共管理巡逻制度是否建立，实行记录情况</w:t>
            </w:r>
          </w:p>
        </w:tc>
        <w:tc>
          <w:tcPr>
            <w:tcW w:w="1955" w:type="dxa"/>
            <w:tcBorders>
              <w:top w:val="nil"/>
              <w:left w:val="nil"/>
              <w:bottom w:val="single" w:color="auto" w:sz="4" w:space="0"/>
              <w:right w:val="single" w:color="auto" w:sz="4" w:space="0"/>
            </w:tcBorders>
            <w:vAlign w:val="center"/>
            <w:tcPrChange w:id="64" w:author="张弓达" w:date="2021-09-07T15:39:16Z">
              <w:tcPr>
                <w:tcW w:w="1955" w:type="dxa"/>
                <w:tcBorders>
                  <w:top w:val="nil"/>
                  <w:left w:val="nil"/>
                  <w:bottom w:val="single" w:color="auto" w:sz="4" w:space="0"/>
                  <w:right w:val="single" w:color="auto" w:sz="4" w:space="0"/>
                </w:tcBorders>
                <w:vAlign w:val="center"/>
              </w:tcPr>
            </w:tcPrChange>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Change w:id="65" w:author="张弓达" w:date="2021-09-07T15:39:16Z">
              <w:tcPr>
                <w:tcW w:w="1143" w:type="dxa"/>
                <w:tcBorders>
                  <w:top w:val="nil"/>
                  <w:left w:val="nil"/>
                  <w:bottom w:val="single" w:color="auto" w:sz="4" w:space="0"/>
                  <w:right w:val="single" w:color="auto" w:sz="4" w:space="0"/>
                </w:tcBorders>
                <w:vAlign w:val="center"/>
              </w:tcPr>
            </w:tcPrChange>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Change w:id="66" w:author="张弓达" w:date="2021-09-07T15:39:16Z">
            <w:tblPrEx>
              <w:tblW w:w="9864" w:type="dxa"/>
              <w:tblLayout w:type="fixed"/>
              <w:tblCellMar>
                <w:top w:w="0" w:type="dxa"/>
                <w:left w:w="108" w:type="dxa"/>
                <w:bottom w:w="0" w:type="dxa"/>
                <w:right w:w="108" w:type="dxa"/>
              </w:tblCellMar>
            </w:tblPrEx>
          </w:tblPrExChange>
        </w:tblPrEx>
        <w:trPr>
          <w:trHeight w:val="373" w:hRule="atLeast"/>
          <w:jc w:val="center"/>
          <w:trPrChange w:id="66" w:author="张弓达" w:date="2021-09-07T15:39:16Z">
            <w:trPr>
              <w:trHeight w:val="373" w:hRule="atLeast"/>
              <w:jc w:val="center"/>
            </w:trPr>
          </w:trPrChange>
        </w:trPr>
        <w:tc>
          <w:tcPr>
            <w:tcW w:w="708" w:type="dxa"/>
            <w:vMerge w:val="continue"/>
            <w:tcBorders>
              <w:left w:val="single" w:color="auto" w:sz="4" w:space="0"/>
              <w:right w:val="single" w:color="auto" w:sz="4" w:space="0"/>
            </w:tcBorders>
            <w:vAlign w:val="center"/>
            <w:tcPrChange w:id="67" w:author="张弓达" w:date="2021-09-07T15:39:16Z">
              <w:tcPr>
                <w:tcW w:w="708" w:type="dxa"/>
                <w:vMerge w:val="continue"/>
                <w:tcBorders>
                  <w:left w:val="single" w:color="auto" w:sz="4" w:space="0"/>
                  <w:right w:val="single" w:color="auto" w:sz="4" w:space="0"/>
                </w:tcBorders>
                <w:vAlign w:val="center"/>
              </w:tcPr>
            </w:tcPrChange>
          </w:tcPr>
          <w:p>
            <w:pPr>
              <w:widowControl/>
              <w:jc w:val="left"/>
              <w:rPr>
                <w:rFonts w:ascii="宋体" w:hAnsi="宋体" w:cs="宋体"/>
                <w:color w:val="auto"/>
                <w:kern w:val="0"/>
                <w:sz w:val="20"/>
                <w:szCs w:val="20"/>
                <w:highlight w:val="none"/>
              </w:rPr>
            </w:pPr>
          </w:p>
        </w:tc>
        <w:tc>
          <w:tcPr>
            <w:tcW w:w="1464" w:type="dxa"/>
            <w:vMerge w:val="continue"/>
            <w:tcBorders>
              <w:left w:val="single" w:color="auto" w:sz="4" w:space="0"/>
              <w:right w:val="single" w:color="auto" w:sz="4" w:space="0"/>
            </w:tcBorders>
            <w:vAlign w:val="center"/>
            <w:tcPrChange w:id="68" w:author="张弓达" w:date="2021-09-07T15:39:16Z">
              <w:tcPr>
                <w:tcW w:w="1464" w:type="dxa"/>
                <w:vMerge w:val="continue"/>
                <w:tcBorders>
                  <w:left w:val="single" w:color="auto" w:sz="4" w:space="0"/>
                  <w:right w:val="single" w:color="auto" w:sz="4" w:space="0"/>
                </w:tcBorders>
                <w:vAlign w:val="center"/>
              </w:tcPr>
            </w:tcPrChange>
          </w:tcPr>
          <w:p>
            <w:pPr>
              <w:widowControl/>
              <w:jc w:val="left"/>
              <w:rPr>
                <w:rFonts w:ascii="宋体" w:hAnsi="宋体" w:cs="宋体"/>
                <w:color w:val="auto"/>
                <w:kern w:val="0"/>
                <w:sz w:val="24"/>
                <w:highlight w:val="none"/>
              </w:rPr>
            </w:pPr>
          </w:p>
        </w:tc>
        <w:tc>
          <w:tcPr>
            <w:tcW w:w="4594" w:type="dxa"/>
            <w:tcBorders>
              <w:top w:val="single" w:color="auto" w:sz="4" w:space="0"/>
              <w:left w:val="single" w:color="auto" w:sz="4" w:space="0"/>
              <w:bottom w:val="single" w:color="auto" w:sz="4" w:space="0"/>
              <w:right w:val="single" w:color="auto" w:sz="4" w:space="0"/>
            </w:tcBorders>
            <w:vAlign w:val="center"/>
            <w:tcPrChange w:id="69" w:author="张弓达" w:date="2021-09-07T15:39:16Z">
              <w:tcPr>
                <w:tcW w:w="4594" w:type="dxa"/>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6</w:t>
            </w:r>
            <w:r>
              <w:rPr>
                <w:rFonts w:hint="eastAsia" w:ascii="宋体" w:hAnsi="宋体"/>
                <w:color w:val="auto"/>
                <w:kern w:val="0"/>
                <w:sz w:val="20"/>
                <w:szCs w:val="20"/>
                <w:highlight w:val="none"/>
              </w:rPr>
              <w:t>、监控室制度、电视监控系统的维护方案等建设情况</w:t>
            </w:r>
          </w:p>
        </w:tc>
        <w:tc>
          <w:tcPr>
            <w:tcW w:w="1955" w:type="dxa"/>
            <w:tcBorders>
              <w:top w:val="single" w:color="auto" w:sz="4" w:space="0"/>
              <w:left w:val="single" w:color="auto" w:sz="4" w:space="0"/>
              <w:bottom w:val="single" w:color="auto" w:sz="4" w:space="0"/>
              <w:right w:val="single" w:color="auto" w:sz="4" w:space="0"/>
            </w:tcBorders>
            <w:vAlign w:val="center"/>
            <w:tcPrChange w:id="70" w:author="张弓达" w:date="2021-09-07T15:39:16Z">
              <w:tcPr>
                <w:tcW w:w="1955" w:type="dxa"/>
                <w:tcBorders>
                  <w:top w:val="nil"/>
                  <w:left w:val="nil"/>
                  <w:bottom w:val="nil"/>
                  <w:right w:val="single" w:color="auto" w:sz="4" w:space="0"/>
                </w:tcBorders>
                <w:vAlign w:val="center"/>
              </w:tcPr>
            </w:tcPrChange>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single" w:color="auto" w:sz="4" w:space="0"/>
              <w:left w:val="single" w:color="auto" w:sz="4" w:space="0"/>
              <w:bottom w:val="single" w:color="auto" w:sz="4" w:space="0"/>
              <w:right w:val="single" w:color="auto" w:sz="4" w:space="0"/>
            </w:tcBorders>
            <w:vAlign w:val="center"/>
            <w:tcPrChange w:id="71" w:author="张弓达" w:date="2021-09-07T15:39:16Z">
              <w:tcPr>
                <w:tcW w:w="1143" w:type="dxa"/>
                <w:tcBorders>
                  <w:top w:val="nil"/>
                  <w:left w:val="nil"/>
                  <w:bottom w:val="nil"/>
                  <w:right w:val="single" w:color="auto" w:sz="4" w:space="0"/>
                </w:tcBorders>
                <w:vAlign w:val="center"/>
              </w:tcPr>
            </w:tcPrChange>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Change w:id="72" w:author="张弓达" w:date="2021-09-07T15:39:16Z">
            <w:tblPrEx>
              <w:tblW w:w="9864" w:type="dxa"/>
              <w:tblLayout w:type="fixed"/>
              <w:tblCellMar>
                <w:top w:w="0" w:type="dxa"/>
                <w:left w:w="108" w:type="dxa"/>
                <w:bottom w:w="0" w:type="dxa"/>
                <w:right w:w="108" w:type="dxa"/>
              </w:tblCellMar>
            </w:tblPrEx>
          </w:tblPrExChange>
        </w:tblPrEx>
        <w:trPr>
          <w:trHeight w:val="1005" w:hRule="atLeast"/>
          <w:jc w:val="center"/>
          <w:trPrChange w:id="72" w:author="张弓达" w:date="2021-09-07T15:39:16Z">
            <w:trPr>
              <w:trHeight w:val="1005" w:hRule="atLeast"/>
              <w:jc w:val="center"/>
            </w:trPr>
          </w:trPrChange>
        </w:trPr>
        <w:tc>
          <w:tcPr>
            <w:tcW w:w="708" w:type="dxa"/>
            <w:vMerge w:val="continue"/>
            <w:tcBorders>
              <w:left w:val="single" w:color="auto" w:sz="4" w:space="0"/>
              <w:right w:val="single" w:color="auto" w:sz="4" w:space="0"/>
            </w:tcBorders>
            <w:vAlign w:val="center"/>
            <w:tcPrChange w:id="73" w:author="张弓达" w:date="2021-09-07T15:39:16Z">
              <w:tcPr>
                <w:tcW w:w="708" w:type="dxa"/>
                <w:vMerge w:val="continue"/>
                <w:tcBorders>
                  <w:left w:val="single" w:color="auto" w:sz="4" w:space="0"/>
                  <w:right w:val="single" w:color="auto" w:sz="4" w:space="0"/>
                </w:tcBorders>
                <w:vAlign w:val="center"/>
              </w:tcPr>
            </w:tcPrChange>
          </w:tcPr>
          <w:p>
            <w:pPr>
              <w:widowControl/>
              <w:jc w:val="left"/>
              <w:rPr>
                <w:rFonts w:ascii="宋体" w:hAnsi="宋体" w:cs="宋体"/>
                <w:color w:val="auto"/>
                <w:kern w:val="0"/>
                <w:sz w:val="20"/>
                <w:szCs w:val="20"/>
                <w:highlight w:val="none"/>
              </w:rPr>
            </w:pPr>
          </w:p>
        </w:tc>
        <w:tc>
          <w:tcPr>
            <w:tcW w:w="1464" w:type="dxa"/>
            <w:vMerge w:val="continue"/>
            <w:tcBorders>
              <w:left w:val="single" w:color="auto" w:sz="4" w:space="0"/>
              <w:right w:val="single" w:color="auto" w:sz="4" w:space="0"/>
            </w:tcBorders>
            <w:vAlign w:val="center"/>
            <w:tcPrChange w:id="74" w:author="张弓达" w:date="2021-09-07T15:39:16Z">
              <w:tcPr>
                <w:tcW w:w="1464" w:type="dxa"/>
                <w:vMerge w:val="continue"/>
                <w:tcBorders>
                  <w:left w:val="single" w:color="auto" w:sz="4" w:space="0"/>
                  <w:right w:val="single" w:color="auto" w:sz="4" w:space="0"/>
                </w:tcBorders>
                <w:vAlign w:val="center"/>
              </w:tcPr>
            </w:tcPrChange>
          </w:tcPr>
          <w:p>
            <w:pPr>
              <w:widowControl/>
              <w:jc w:val="left"/>
              <w:rPr>
                <w:rFonts w:ascii="宋体" w:hAnsi="宋体" w:cs="宋体"/>
                <w:color w:val="auto"/>
                <w:kern w:val="0"/>
                <w:sz w:val="24"/>
                <w:highlight w:val="none"/>
              </w:rPr>
            </w:pPr>
          </w:p>
        </w:tc>
        <w:tc>
          <w:tcPr>
            <w:tcW w:w="4594" w:type="dxa"/>
            <w:tcBorders>
              <w:top w:val="single" w:color="auto" w:sz="4" w:space="0"/>
              <w:left w:val="single" w:color="auto" w:sz="4" w:space="0"/>
              <w:bottom w:val="single" w:color="auto" w:sz="4" w:space="0"/>
              <w:right w:val="single" w:color="auto" w:sz="4" w:space="0"/>
            </w:tcBorders>
            <w:vAlign w:val="center"/>
            <w:tcPrChange w:id="75" w:author="张弓达" w:date="2021-09-07T15:39:16Z">
              <w:tcPr>
                <w:tcW w:w="4594" w:type="dxa"/>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ascii="宋体" w:hAnsi="宋体"/>
                <w:color w:val="auto"/>
                <w:kern w:val="0"/>
                <w:sz w:val="20"/>
                <w:szCs w:val="20"/>
                <w:highlight w:val="none"/>
              </w:rPr>
            </w:pPr>
            <w:r>
              <w:rPr>
                <w:rFonts w:hint="eastAsia" w:ascii="宋体" w:hAnsi="宋体"/>
                <w:color w:val="auto"/>
                <w:kern w:val="0"/>
                <w:sz w:val="20"/>
                <w:szCs w:val="20"/>
                <w:highlight w:val="none"/>
              </w:rPr>
              <w:t>7大厅岗（以上班时间为准），自由走动不超过岗哨点1米，不得迟到、早退、脱岗、睡岗、串岗</w:t>
            </w:r>
          </w:p>
        </w:tc>
        <w:tc>
          <w:tcPr>
            <w:tcW w:w="1955" w:type="dxa"/>
            <w:tcBorders>
              <w:top w:val="single" w:color="auto" w:sz="4" w:space="0"/>
              <w:left w:val="single" w:color="auto" w:sz="4" w:space="0"/>
              <w:bottom w:val="single" w:color="auto" w:sz="4" w:space="0"/>
              <w:right w:val="single" w:color="auto" w:sz="4" w:space="0"/>
            </w:tcBorders>
            <w:vAlign w:val="center"/>
            <w:tcPrChange w:id="76" w:author="张弓达" w:date="2021-09-07T15:39:16Z">
              <w:tcPr>
                <w:tcW w:w="1955" w:type="dxa"/>
                <w:tcBorders>
                  <w:top w:val="nil"/>
                  <w:left w:val="nil"/>
                  <w:bottom w:val="single" w:color="auto" w:sz="4" w:space="0"/>
                  <w:right w:val="single" w:color="auto" w:sz="4" w:space="0"/>
                </w:tcBorders>
                <w:vAlign w:val="center"/>
              </w:tcPr>
            </w:tcPrChange>
          </w:tcPr>
          <w:p>
            <w:pPr>
              <w:widowControl/>
              <w:jc w:val="center"/>
              <w:rPr>
                <w:rFonts w:ascii="宋体" w:hAnsi="宋体" w:cs="宋体"/>
                <w:snapToGrid w:val="0"/>
                <w:color w:val="auto"/>
                <w:spacing w:val="-8"/>
                <w:kern w:val="0"/>
                <w:sz w:val="20"/>
                <w:szCs w:val="20"/>
                <w:highlight w:val="none"/>
              </w:rPr>
            </w:pPr>
            <w:r>
              <w:rPr>
                <w:rFonts w:hint="eastAsia" w:ascii="宋体" w:hAnsi="宋体" w:cs="宋体"/>
                <w:snapToGrid w:val="0"/>
                <w:color w:val="auto"/>
                <w:spacing w:val="-8"/>
                <w:kern w:val="0"/>
                <w:sz w:val="20"/>
                <w:szCs w:val="20"/>
                <w:highlight w:val="none"/>
              </w:rPr>
              <w:t>不满足一项扣1分</w:t>
            </w:r>
          </w:p>
        </w:tc>
        <w:tc>
          <w:tcPr>
            <w:tcW w:w="1143" w:type="dxa"/>
            <w:tcBorders>
              <w:top w:val="single" w:color="auto" w:sz="4" w:space="0"/>
              <w:left w:val="single" w:color="auto" w:sz="4" w:space="0"/>
              <w:bottom w:val="single" w:color="auto" w:sz="4" w:space="0"/>
              <w:right w:val="single" w:color="auto" w:sz="4" w:space="0"/>
            </w:tcBorders>
            <w:vAlign w:val="center"/>
            <w:tcPrChange w:id="77" w:author="张弓达" w:date="2021-09-07T15:39:16Z">
              <w:tcPr>
                <w:tcW w:w="1143" w:type="dxa"/>
                <w:tcBorders>
                  <w:top w:val="nil"/>
                  <w:left w:val="nil"/>
                  <w:bottom w:val="single" w:color="auto" w:sz="4" w:space="0"/>
                  <w:right w:val="single" w:color="auto" w:sz="4" w:space="0"/>
                </w:tcBorders>
                <w:vAlign w:val="center"/>
              </w:tcPr>
            </w:tcPrChange>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r>
      <w:tr>
        <w:tblPrEx>
          <w:tblLayout w:type="fixed"/>
          <w:tblCellMar>
            <w:top w:w="0" w:type="dxa"/>
            <w:left w:w="108" w:type="dxa"/>
            <w:bottom w:w="0" w:type="dxa"/>
            <w:right w:w="108" w:type="dxa"/>
          </w:tblCellMar>
        </w:tblPrEx>
        <w:trPr>
          <w:trHeight w:val="502" w:hRule="atLeast"/>
          <w:jc w:val="center"/>
        </w:trPr>
        <w:tc>
          <w:tcPr>
            <w:tcW w:w="70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46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rPr>
            </w:pPr>
          </w:p>
        </w:tc>
        <w:tc>
          <w:tcPr>
            <w:tcW w:w="45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 w:val="20"/>
                <w:szCs w:val="20"/>
                <w:highlight w:val="none"/>
              </w:rPr>
            </w:pPr>
            <w:r>
              <w:rPr>
                <w:rFonts w:hint="eastAsia" w:ascii="宋体" w:hAnsi="宋体"/>
                <w:color w:val="auto"/>
                <w:kern w:val="0"/>
                <w:sz w:val="20"/>
                <w:szCs w:val="20"/>
                <w:highlight w:val="none"/>
              </w:rPr>
              <w:t>8.值岗：值岗时不能吸烟、看报刊、玩手机、杂志、带耳机、看电视、干私活、喝酒、下棋或携带无关人员等</w:t>
            </w:r>
          </w:p>
        </w:tc>
        <w:tc>
          <w:tcPr>
            <w:tcW w:w="19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napToGrid w:val="0"/>
                <w:color w:val="auto"/>
                <w:spacing w:val="-8"/>
                <w:kern w:val="0"/>
                <w:sz w:val="20"/>
                <w:szCs w:val="20"/>
                <w:highlight w:val="none"/>
              </w:rPr>
            </w:pPr>
            <w:r>
              <w:rPr>
                <w:rFonts w:hint="eastAsia" w:ascii="宋体" w:hAnsi="宋体" w:cs="宋体"/>
                <w:snapToGrid w:val="0"/>
                <w:color w:val="auto"/>
                <w:spacing w:val="-8"/>
                <w:kern w:val="0"/>
                <w:sz w:val="20"/>
                <w:szCs w:val="20"/>
                <w:highlight w:val="none"/>
              </w:rPr>
              <w:t>不满足一项扣1分</w:t>
            </w:r>
          </w:p>
        </w:tc>
        <w:tc>
          <w:tcPr>
            <w:tcW w:w="11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r>
    </w:tbl>
    <w:p>
      <w:pPr>
        <w:spacing w:line="440" w:lineRule="exact"/>
        <w:rPr>
          <w:rFonts w:ascii="宋体" w:hAnsi="宋体" w:cs="Arial"/>
          <w:color w:val="auto"/>
          <w:szCs w:val="21"/>
          <w:highlight w:val="none"/>
        </w:rPr>
      </w:pPr>
      <w:r>
        <w:rPr>
          <w:rFonts w:ascii="宋体" w:hAnsi="宋体" w:cs="Arial"/>
          <w:color w:val="auto"/>
          <w:szCs w:val="21"/>
          <w:highlight w:val="none"/>
        </w:rPr>
        <w:br w:type="page"/>
      </w:r>
    </w:p>
    <w:p>
      <w:pPr>
        <w:tabs>
          <w:tab w:val="center" w:pos="4564"/>
        </w:tabs>
        <w:spacing w:line="440" w:lineRule="exact"/>
        <w:rPr>
          <w:rFonts w:ascii="宋体" w:hAnsi="宋体" w:cs="Arial"/>
          <w:color w:val="auto"/>
          <w:szCs w:val="21"/>
          <w:highlight w:val="none"/>
        </w:rPr>
      </w:pPr>
      <w:r>
        <w:rPr>
          <w:rFonts w:hint="eastAsia" w:ascii="宋体" w:hAnsi="宋体" w:cs="Arial"/>
          <w:color w:val="auto"/>
          <w:szCs w:val="21"/>
          <w:highlight w:val="none"/>
        </w:rPr>
        <w:tab/>
      </w:r>
    </w:p>
    <w:tbl>
      <w:tblPr>
        <w:tblStyle w:val="27"/>
        <w:tblW w:w="9897" w:type="dxa"/>
        <w:jc w:val="center"/>
        <w:tblInd w:w="0" w:type="dxa"/>
        <w:tblLayout w:type="fixed"/>
        <w:tblCellMar>
          <w:top w:w="0" w:type="dxa"/>
          <w:left w:w="108" w:type="dxa"/>
          <w:bottom w:w="0" w:type="dxa"/>
          <w:right w:w="108" w:type="dxa"/>
        </w:tblCellMar>
      </w:tblPr>
      <w:tblGrid>
        <w:gridCol w:w="864"/>
        <w:gridCol w:w="1428"/>
        <w:gridCol w:w="4203"/>
        <w:gridCol w:w="2268"/>
        <w:gridCol w:w="1134"/>
      </w:tblGrid>
      <w:tr>
        <w:tblPrEx>
          <w:tblLayout w:type="fixed"/>
          <w:tblCellMar>
            <w:top w:w="0" w:type="dxa"/>
            <w:left w:w="108" w:type="dxa"/>
            <w:bottom w:w="0" w:type="dxa"/>
            <w:right w:w="108" w:type="dxa"/>
          </w:tblCellMar>
        </w:tblPrEx>
        <w:trPr>
          <w:trHeight w:val="511" w:hRule="atLeast"/>
          <w:jc w:val="center"/>
        </w:trPr>
        <w:tc>
          <w:tcPr>
            <w:tcW w:w="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14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内 容</w:t>
            </w:r>
          </w:p>
        </w:tc>
        <w:tc>
          <w:tcPr>
            <w:tcW w:w="420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目   标   要   求</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考  核  标  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基本分</w:t>
            </w:r>
          </w:p>
        </w:tc>
      </w:tr>
      <w:tr>
        <w:tblPrEx>
          <w:tblLayout w:type="fixed"/>
          <w:tblCellMar>
            <w:top w:w="0" w:type="dxa"/>
            <w:left w:w="108" w:type="dxa"/>
            <w:bottom w:w="0" w:type="dxa"/>
            <w:right w:w="108" w:type="dxa"/>
          </w:tblCellMar>
        </w:tblPrEx>
        <w:trPr>
          <w:trHeight w:val="298" w:hRule="atLeast"/>
          <w:jc w:val="center"/>
        </w:trPr>
        <w:tc>
          <w:tcPr>
            <w:tcW w:w="86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olor w:val="auto"/>
                <w:kern w:val="0"/>
                <w:sz w:val="24"/>
                <w:highlight w:val="none"/>
              </w:rPr>
            </w:pPr>
            <w:r>
              <w:rPr>
                <w:rFonts w:hint="eastAsia" w:ascii="宋体" w:hAnsi="宋体"/>
                <w:color w:val="auto"/>
                <w:kern w:val="0"/>
                <w:sz w:val="24"/>
                <w:highlight w:val="none"/>
              </w:rPr>
              <w:t>3</w:t>
            </w:r>
          </w:p>
        </w:tc>
        <w:tc>
          <w:tcPr>
            <w:tcW w:w="142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量</w:t>
            </w:r>
          </w:p>
        </w:tc>
        <w:tc>
          <w:tcPr>
            <w:tcW w:w="420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kern w:val="0"/>
                <w:sz w:val="20"/>
                <w:szCs w:val="20"/>
                <w:highlight w:val="none"/>
              </w:rPr>
            </w:pPr>
            <w:r>
              <w:rPr>
                <w:rFonts w:ascii="宋体" w:hAnsi="宋体"/>
                <w:color w:val="auto"/>
                <w:kern w:val="0"/>
                <w:sz w:val="20"/>
                <w:szCs w:val="20"/>
                <w:highlight w:val="none"/>
              </w:rPr>
              <w:t>1</w:t>
            </w:r>
            <w:r>
              <w:rPr>
                <w:rFonts w:hint="eastAsia" w:ascii="宋体" w:hAnsi="宋体"/>
                <w:color w:val="auto"/>
                <w:kern w:val="0"/>
                <w:sz w:val="20"/>
                <w:szCs w:val="20"/>
                <w:highlight w:val="none"/>
              </w:rPr>
              <w:t>、在承包区域的各项服务，其工作时间满足招标人的要求，包括公众假期，做到无论有什么理由，都不可以停止服务；是否做到全天二十四小时服务；</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298" w:hRule="atLeast"/>
          <w:jc w:val="center"/>
        </w:trPr>
        <w:tc>
          <w:tcPr>
            <w:tcW w:w="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4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42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2</w:t>
            </w:r>
            <w:r>
              <w:rPr>
                <w:rFonts w:hint="eastAsia" w:ascii="宋体" w:hAnsi="宋体"/>
                <w:color w:val="auto"/>
                <w:kern w:val="0"/>
                <w:sz w:val="20"/>
                <w:szCs w:val="20"/>
                <w:highlight w:val="none"/>
              </w:rPr>
              <w:t>、工作人员上岗穿着统一的制服及许可的装饰物品；</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r>
      <w:tr>
        <w:tblPrEx>
          <w:tblLayout w:type="fixed"/>
          <w:tblCellMar>
            <w:top w:w="0" w:type="dxa"/>
            <w:left w:w="108" w:type="dxa"/>
            <w:bottom w:w="0" w:type="dxa"/>
            <w:right w:w="108" w:type="dxa"/>
          </w:tblCellMar>
        </w:tblPrEx>
        <w:trPr>
          <w:trHeight w:val="298" w:hRule="atLeast"/>
          <w:jc w:val="center"/>
        </w:trPr>
        <w:tc>
          <w:tcPr>
            <w:tcW w:w="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4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42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3</w:t>
            </w:r>
            <w:r>
              <w:rPr>
                <w:rFonts w:hint="eastAsia" w:ascii="宋体" w:hAnsi="宋体"/>
                <w:color w:val="auto"/>
                <w:kern w:val="0"/>
                <w:sz w:val="20"/>
                <w:szCs w:val="20"/>
                <w:highlight w:val="none"/>
              </w:rPr>
              <w:t>、在承包的区域经营范围内，不准利用权力做不允许经营的情况；</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298" w:hRule="atLeast"/>
          <w:jc w:val="center"/>
        </w:trPr>
        <w:tc>
          <w:tcPr>
            <w:tcW w:w="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4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42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4</w:t>
            </w:r>
            <w:r>
              <w:rPr>
                <w:rFonts w:hint="eastAsia" w:ascii="宋体" w:hAnsi="宋体"/>
                <w:color w:val="auto"/>
                <w:kern w:val="0"/>
                <w:sz w:val="20"/>
                <w:szCs w:val="20"/>
                <w:highlight w:val="none"/>
              </w:rPr>
              <w:t>、在承包期内保证区域内的设施、设备良好的运营状况和环境状况及后勤中心提供设备、设施、工具的完好性（正常折旧除外）；</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snapToGrid w:val="0"/>
                <w:color w:val="auto"/>
                <w:spacing w:val="-8"/>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298" w:hRule="atLeast"/>
          <w:jc w:val="center"/>
        </w:trPr>
        <w:tc>
          <w:tcPr>
            <w:tcW w:w="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4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42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5</w:t>
            </w:r>
            <w:r>
              <w:rPr>
                <w:rFonts w:hint="eastAsia" w:ascii="宋体" w:hAnsi="宋体"/>
                <w:color w:val="auto"/>
                <w:kern w:val="0"/>
                <w:sz w:val="20"/>
                <w:szCs w:val="20"/>
                <w:highlight w:val="none"/>
              </w:rPr>
              <w:t>、在承包区域内因作业所需增加机械、电力设备及设施经征得同意，并进行记录备案；</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298" w:hRule="atLeast"/>
          <w:jc w:val="center"/>
        </w:trPr>
        <w:tc>
          <w:tcPr>
            <w:tcW w:w="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4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42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6</w:t>
            </w:r>
            <w:r>
              <w:rPr>
                <w:rFonts w:hint="eastAsia" w:ascii="宋体" w:hAnsi="宋体"/>
                <w:color w:val="auto"/>
                <w:kern w:val="0"/>
                <w:sz w:val="20"/>
                <w:szCs w:val="20"/>
                <w:highlight w:val="none"/>
              </w:rPr>
              <w:t>、工作人员不准向行政大楼内相关人员索取小费或物品等；在承包区域住宿不准从事非法活动；不准安装任何可能造成电缆负载过大的电器设备；未获书面同意，不准在承包区域存放易燃物品或气味浓烈的液体等；</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298" w:hRule="atLeast"/>
          <w:jc w:val="center"/>
        </w:trPr>
        <w:tc>
          <w:tcPr>
            <w:tcW w:w="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4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42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7</w:t>
            </w:r>
            <w:r>
              <w:rPr>
                <w:rFonts w:hint="eastAsia" w:ascii="宋体" w:hAnsi="宋体"/>
                <w:color w:val="auto"/>
                <w:kern w:val="0"/>
                <w:sz w:val="20"/>
                <w:szCs w:val="20"/>
                <w:highlight w:val="none"/>
              </w:rPr>
              <w:t>、对发现问题没有及时处理或没有及时上报情况；</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298" w:hRule="atLeast"/>
          <w:jc w:val="center"/>
        </w:trPr>
        <w:tc>
          <w:tcPr>
            <w:tcW w:w="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4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42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8</w:t>
            </w:r>
            <w:r>
              <w:rPr>
                <w:rFonts w:hint="eastAsia" w:ascii="宋体" w:hAnsi="宋体"/>
                <w:color w:val="auto"/>
                <w:kern w:val="0"/>
                <w:sz w:val="20"/>
                <w:szCs w:val="20"/>
                <w:highlight w:val="none"/>
              </w:rPr>
              <w:t>、遇突发事件或安全检查时，有配合有关部门执行任务，并指定专职人员协助工作，直至完成好任务；</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r>
      <w:tr>
        <w:tblPrEx>
          <w:tblLayout w:type="fixed"/>
          <w:tblCellMar>
            <w:top w:w="0" w:type="dxa"/>
            <w:left w:w="108" w:type="dxa"/>
            <w:bottom w:w="0" w:type="dxa"/>
            <w:right w:w="108" w:type="dxa"/>
          </w:tblCellMar>
        </w:tblPrEx>
        <w:trPr>
          <w:trHeight w:val="298" w:hRule="atLeast"/>
          <w:jc w:val="center"/>
        </w:trPr>
        <w:tc>
          <w:tcPr>
            <w:tcW w:w="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4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42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9</w:t>
            </w:r>
            <w:r>
              <w:rPr>
                <w:rFonts w:hint="eastAsia" w:ascii="宋体" w:hAnsi="宋体"/>
                <w:color w:val="auto"/>
                <w:kern w:val="0"/>
                <w:sz w:val="20"/>
                <w:szCs w:val="20"/>
                <w:highlight w:val="none"/>
              </w:rPr>
              <w:t>、对上级（户主）交办的临时性任务，及时完成；</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298" w:hRule="atLeast"/>
          <w:jc w:val="center"/>
        </w:trPr>
        <w:tc>
          <w:tcPr>
            <w:tcW w:w="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4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rPr>
            </w:pPr>
          </w:p>
        </w:tc>
        <w:tc>
          <w:tcPr>
            <w:tcW w:w="42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10</w:t>
            </w:r>
            <w:r>
              <w:rPr>
                <w:rFonts w:hint="eastAsia" w:ascii="宋体" w:hAnsi="宋体"/>
                <w:color w:val="auto"/>
                <w:kern w:val="0"/>
                <w:sz w:val="20"/>
                <w:szCs w:val="20"/>
                <w:highlight w:val="none"/>
              </w:rPr>
              <w:t>、管理层是否以身作则，管理人员对队员的工作是否经常性认真检查和指导，在遵守秩序维护员制度外并能否遵守有关规定；</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r>
      <w:tr>
        <w:tblPrEx>
          <w:tblLayout w:type="fixed"/>
          <w:tblCellMar>
            <w:top w:w="0" w:type="dxa"/>
            <w:left w:w="108" w:type="dxa"/>
            <w:bottom w:w="0" w:type="dxa"/>
            <w:right w:w="108" w:type="dxa"/>
          </w:tblCellMar>
        </w:tblPrEx>
        <w:trPr>
          <w:trHeight w:val="298" w:hRule="atLeast"/>
          <w:jc w:val="center"/>
        </w:trPr>
        <w:tc>
          <w:tcPr>
            <w:tcW w:w="86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olor w:val="auto"/>
                <w:kern w:val="0"/>
                <w:sz w:val="24"/>
                <w:highlight w:val="none"/>
              </w:rPr>
            </w:pPr>
            <w:r>
              <w:rPr>
                <w:rFonts w:ascii="宋体" w:hAnsi="宋体"/>
                <w:color w:val="auto"/>
                <w:kern w:val="0"/>
                <w:sz w:val="24"/>
                <w:highlight w:val="none"/>
              </w:rPr>
              <w:t>4</w:t>
            </w:r>
          </w:p>
        </w:tc>
        <w:tc>
          <w:tcPr>
            <w:tcW w:w="142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日常服务情况</w:t>
            </w:r>
          </w:p>
        </w:tc>
        <w:tc>
          <w:tcPr>
            <w:tcW w:w="420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kern w:val="0"/>
                <w:sz w:val="20"/>
                <w:szCs w:val="20"/>
                <w:highlight w:val="none"/>
              </w:rPr>
            </w:pPr>
            <w:r>
              <w:rPr>
                <w:rFonts w:ascii="宋体" w:hAnsi="宋体"/>
                <w:color w:val="auto"/>
                <w:kern w:val="0"/>
                <w:sz w:val="20"/>
                <w:szCs w:val="20"/>
                <w:highlight w:val="none"/>
              </w:rPr>
              <w:t>1</w:t>
            </w:r>
            <w:r>
              <w:rPr>
                <w:rFonts w:hint="eastAsia" w:ascii="宋体" w:hAnsi="宋体"/>
                <w:color w:val="auto"/>
                <w:kern w:val="0"/>
                <w:sz w:val="20"/>
                <w:szCs w:val="20"/>
                <w:highlight w:val="none"/>
              </w:rPr>
              <w:t>、保证大楼的工作生活秩序正常；</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298" w:hRule="atLeast"/>
          <w:jc w:val="center"/>
        </w:trPr>
        <w:tc>
          <w:tcPr>
            <w:tcW w:w="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4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42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2</w:t>
            </w:r>
            <w:r>
              <w:rPr>
                <w:rFonts w:hint="eastAsia" w:ascii="宋体" w:hAnsi="宋体"/>
                <w:color w:val="auto"/>
                <w:kern w:val="0"/>
                <w:sz w:val="20"/>
                <w:szCs w:val="20"/>
                <w:highlight w:val="none"/>
              </w:rPr>
              <w:t>、安全保卫工作有序；</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snapToGrid w:val="0"/>
                <w:color w:val="auto"/>
                <w:spacing w:val="-8"/>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298" w:hRule="atLeast"/>
          <w:jc w:val="center"/>
        </w:trPr>
        <w:tc>
          <w:tcPr>
            <w:tcW w:w="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4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42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3</w:t>
            </w:r>
            <w:r>
              <w:rPr>
                <w:rFonts w:hint="eastAsia" w:ascii="宋体" w:hAnsi="宋体"/>
                <w:color w:val="auto"/>
                <w:kern w:val="0"/>
                <w:sz w:val="20"/>
                <w:szCs w:val="20"/>
                <w:highlight w:val="none"/>
              </w:rPr>
              <w:t>、监控工作到位；</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298" w:hRule="atLeast"/>
          <w:jc w:val="center"/>
        </w:trPr>
        <w:tc>
          <w:tcPr>
            <w:tcW w:w="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4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42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4</w:t>
            </w:r>
            <w:r>
              <w:rPr>
                <w:rFonts w:hint="eastAsia" w:ascii="宋体" w:hAnsi="宋体"/>
                <w:color w:val="auto"/>
                <w:kern w:val="0"/>
                <w:sz w:val="20"/>
                <w:szCs w:val="20"/>
                <w:highlight w:val="none"/>
              </w:rPr>
              <w:t>、消防处理是否及时；</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589" w:hRule="atLeast"/>
          <w:jc w:val="center"/>
        </w:trPr>
        <w:tc>
          <w:tcPr>
            <w:tcW w:w="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4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rPr>
            </w:pPr>
          </w:p>
        </w:tc>
        <w:tc>
          <w:tcPr>
            <w:tcW w:w="42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5</w:t>
            </w:r>
            <w:r>
              <w:rPr>
                <w:rFonts w:hint="eastAsia" w:ascii="宋体" w:hAnsi="宋体"/>
                <w:color w:val="auto"/>
                <w:kern w:val="0"/>
                <w:sz w:val="20"/>
                <w:szCs w:val="20"/>
                <w:highlight w:val="none"/>
              </w:rPr>
              <w:t>、维持停车库（场）秩序（地下停车场）；</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bl>
    <w:p>
      <w:pPr>
        <w:spacing w:line="440" w:lineRule="exact"/>
        <w:rPr>
          <w:rFonts w:ascii="宋体" w:hAnsi="宋体" w:cs="Arial"/>
          <w:color w:val="auto"/>
          <w:szCs w:val="21"/>
          <w:highlight w:val="none"/>
        </w:rPr>
      </w:pPr>
      <w:r>
        <w:rPr>
          <w:rFonts w:ascii="宋体" w:hAnsi="宋体" w:cs="Arial"/>
          <w:color w:val="auto"/>
          <w:szCs w:val="21"/>
          <w:highlight w:val="none"/>
        </w:rPr>
        <w:br w:type="page"/>
      </w:r>
    </w:p>
    <w:tbl>
      <w:tblPr>
        <w:tblStyle w:val="27"/>
        <w:tblpPr w:leftFromText="180" w:rightFromText="180" w:vertAnchor="text" w:horzAnchor="margin" w:tblpXSpec="center" w:tblpY="851"/>
        <w:tblW w:w="10454" w:type="dxa"/>
        <w:tblInd w:w="822" w:type="dxa"/>
        <w:tblLayout w:type="fixed"/>
        <w:tblCellMar>
          <w:top w:w="0" w:type="dxa"/>
          <w:left w:w="108" w:type="dxa"/>
          <w:bottom w:w="0" w:type="dxa"/>
          <w:right w:w="108" w:type="dxa"/>
        </w:tblCellMar>
      </w:tblPr>
      <w:tblGrid>
        <w:gridCol w:w="765"/>
        <w:gridCol w:w="1113"/>
        <w:gridCol w:w="4335"/>
        <w:gridCol w:w="2827"/>
        <w:gridCol w:w="1414"/>
      </w:tblGrid>
      <w:tr>
        <w:tblPrEx>
          <w:tblLayout w:type="fixed"/>
          <w:tblCellMar>
            <w:top w:w="0" w:type="dxa"/>
            <w:left w:w="108" w:type="dxa"/>
            <w:bottom w:w="0" w:type="dxa"/>
            <w:right w:w="108" w:type="dxa"/>
          </w:tblCellMar>
        </w:tblPrEx>
        <w:trPr>
          <w:trHeight w:val="544" w:hRule="atLeast"/>
        </w:trPr>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111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内 容</w:t>
            </w:r>
          </w:p>
        </w:tc>
        <w:tc>
          <w:tcPr>
            <w:tcW w:w="4335"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目   标   要   求</w:t>
            </w:r>
          </w:p>
        </w:tc>
        <w:tc>
          <w:tcPr>
            <w:tcW w:w="28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考  核  标  准</w:t>
            </w:r>
          </w:p>
        </w:tc>
        <w:tc>
          <w:tcPr>
            <w:tcW w:w="14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基本分</w:t>
            </w:r>
          </w:p>
        </w:tc>
      </w:tr>
      <w:tr>
        <w:tblPrEx>
          <w:tblLayout w:type="fixed"/>
          <w:tblCellMar>
            <w:top w:w="0" w:type="dxa"/>
            <w:left w:w="108" w:type="dxa"/>
            <w:bottom w:w="0" w:type="dxa"/>
            <w:right w:w="108" w:type="dxa"/>
          </w:tblCellMar>
        </w:tblPrEx>
        <w:trPr>
          <w:trHeight w:val="317" w:hRule="atLeast"/>
        </w:trPr>
        <w:tc>
          <w:tcPr>
            <w:tcW w:w="76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olor w:val="auto"/>
                <w:kern w:val="0"/>
                <w:sz w:val="20"/>
                <w:szCs w:val="20"/>
                <w:highlight w:val="none"/>
              </w:rPr>
              <w:t>5</w:t>
            </w:r>
          </w:p>
        </w:tc>
        <w:tc>
          <w:tcPr>
            <w:tcW w:w="111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思想作风建设</w:t>
            </w:r>
          </w:p>
        </w:tc>
        <w:tc>
          <w:tcPr>
            <w:tcW w:w="433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kern w:val="0"/>
                <w:sz w:val="20"/>
                <w:szCs w:val="20"/>
                <w:highlight w:val="none"/>
              </w:rPr>
            </w:pPr>
            <w:r>
              <w:rPr>
                <w:rFonts w:ascii="宋体" w:hAnsi="宋体"/>
                <w:color w:val="auto"/>
                <w:kern w:val="0"/>
                <w:sz w:val="20"/>
                <w:szCs w:val="20"/>
                <w:highlight w:val="none"/>
              </w:rPr>
              <w:t>1</w:t>
            </w:r>
            <w:r>
              <w:rPr>
                <w:rFonts w:hint="eastAsia" w:ascii="宋体" w:hAnsi="宋体"/>
                <w:color w:val="auto"/>
                <w:kern w:val="0"/>
                <w:sz w:val="20"/>
                <w:szCs w:val="20"/>
                <w:highlight w:val="none"/>
              </w:rPr>
              <w:t>、员工的职业道德、文明礼貌、工作作风、办事效率等方面；</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17" w:hRule="atLeast"/>
        </w:trPr>
        <w:tc>
          <w:tcPr>
            <w:tcW w:w="7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1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433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kern w:val="0"/>
                <w:sz w:val="20"/>
                <w:szCs w:val="20"/>
                <w:highlight w:val="none"/>
              </w:rPr>
            </w:pPr>
            <w:r>
              <w:rPr>
                <w:rFonts w:ascii="宋体" w:hAnsi="宋体"/>
                <w:color w:val="auto"/>
                <w:kern w:val="0"/>
                <w:sz w:val="20"/>
                <w:szCs w:val="20"/>
                <w:highlight w:val="none"/>
              </w:rPr>
              <w:t>2</w:t>
            </w:r>
            <w:r>
              <w:rPr>
                <w:rFonts w:hint="eastAsia" w:ascii="宋体" w:hAnsi="宋体"/>
                <w:color w:val="auto"/>
                <w:kern w:val="0"/>
                <w:sz w:val="20"/>
                <w:szCs w:val="20"/>
                <w:highlight w:val="none"/>
              </w:rPr>
              <w:t>、是否重视对员工做深入细致的思想政治工作和培训教育，使所有员工都能做到爱岗敬业；</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17" w:hRule="atLeast"/>
        </w:trPr>
        <w:tc>
          <w:tcPr>
            <w:tcW w:w="7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1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433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kern w:val="0"/>
                <w:sz w:val="20"/>
                <w:szCs w:val="20"/>
                <w:highlight w:val="none"/>
              </w:rPr>
            </w:pPr>
            <w:r>
              <w:rPr>
                <w:rFonts w:ascii="宋体" w:hAnsi="宋体"/>
                <w:color w:val="auto"/>
                <w:kern w:val="0"/>
                <w:sz w:val="20"/>
                <w:szCs w:val="20"/>
                <w:highlight w:val="none"/>
              </w:rPr>
              <w:t>3</w:t>
            </w:r>
            <w:r>
              <w:rPr>
                <w:rFonts w:hint="eastAsia" w:ascii="宋体" w:hAnsi="宋体"/>
                <w:color w:val="auto"/>
                <w:kern w:val="0"/>
                <w:sz w:val="20"/>
                <w:szCs w:val="20"/>
                <w:highlight w:val="none"/>
              </w:rPr>
              <w:t>、所有员工仪表是否端正；</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17" w:hRule="atLeast"/>
        </w:trPr>
        <w:tc>
          <w:tcPr>
            <w:tcW w:w="7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1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433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kern w:val="0"/>
                <w:sz w:val="20"/>
                <w:szCs w:val="20"/>
                <w:highlight w:val="none"/>
              </w:rPr>
            </w:pPr>
            <w:r>
              <w:rPr>
                <w:rFonts w:ascii="宋体" w:hAnsi="宋体"/>
                <w:color w:val="auto"/>
                <w:kern w:val="0"/>
                <w:sz w:val="20"/>
                <w:szCs w:val="20"/>
                <w:highlight w:val="none"/>
              </w:rPr>
              <w:t>4</w:t>
            </w:r>
            <w:r>
              <w:rPr>
                <w:rFonts w:hint="eastAsia" w:ascii="宋体" w:hAnsi="宋体"/>
                <w:color w:val="auto"/>
                <w:kern w:val="0"/>
                <w:sz w:val="20"/>
                <w:szCs w:val="20"/>
                <w:highlight w:val="none"/>
              </w:rPr>
              <w:t>、员工语言得体、举止；</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s="宋体"/>
                <w:snapToGrid w:val="0"/>
                <w:color w:val="auto"/>
                <w:spacing w:val="-8"/>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17" w:hRule="atLeast"/>
        </w:trPr>
        <w:tc>
          <w:tcPr>
            <w:tcW w:w="7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1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433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kern w:val="0"/>
                <w:sz w:val="20"/>
                <w:szCs w:val="20"/>
                <w:highlight w:val="none"/>
              </w:rPr>
            </w:pPr>
            <w:r>
              <w:rPr>
                <w:rFonts w:hint="eastAsia" w:ascii="宋体" w:hAnsi="宋体"/>
                <w:color w:val="auto"/>
                <w:kern w:val="0"/>
                <w:sz w:val="20"/>
                <w:szCs w:val="20"/>
                <w:highlight w:val="none"/>
              </w:rPr>
              <w:t>5、态度是否友善；</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17" w:hRule="atLeast"/>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1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433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kern w:val="0"/>
                <w:sz w:val="20"/>
                <w:szCs w:val="20"/>
                <w:highlight w:val="none"/>
              </w:rPr>
            </w:pPr>
            <w:r>
              <w:rPr>
                <w:rFonts w:hint="eastAsia" w:ascii="宋体" w:hAnsi="宋体"/>
                <w:color w:val="auto"/>
                <w:kern w:val="0"/>
                <w:sz w:val="20"/>
                <w:szCs w:val="20"/>
                <w:highlight w:val="none"/>
              </w:rPr>
              <w:t>6、是否做到内部团结，工作协调，能认真履行工作职责，无玩忽职守现象；</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r>
      <w:tr>
        <w:tblPrEx>
          <w:tblLayout w:type="fixed"/>
          <w:tblCellMar>
            <w:top w:w="0" w:type="dxa"/>
            <w:left w:w="108" w:type="dxa"/>
            <w:bottom w:w="0" w:type="dxa"/>
            <w:right w:w="108" w:type="dxa"/>
          </w:tblCellMar>
        </w:tblPrEx>
        <w:trPr>
          <w:trHeight w:val="317" w:hRule="atLeast"/>
        </w:trPr>
        <w:tc>
          <w:tcPr>
            <w:tcW w:w="765" w:type="dxa"/>
            <w:vMerge w:val="restart"/>
            <w:tcBorders>
              <w:top w:val="single" w:color="auto" w:sz="4" w:space="0"/>
              <w:left w:val="single" w:color="auto" w:sz="4" w:space="0"/>
              <w:bottom w:val="single" w:color="000000" w:sz="4" w:space="0"/>
              <w:right w:val="single" w:color="auto" w:sz="4" w:space="0"/>
            </w:tcBorders>
            <w:vAlign w:val="center"/>
          </w:tcPr>
          <w:p>
            <w:pPr>
              <w:ind w:firstLine="100" w:firstLineChars="50"/>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1113" w:type="dxa"/>
            <w:vMerge w:val="restart"/>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组织框架</w:t>
            </w:r>
          </w:p>
        </w:tc>
        <w:tc>
          <w:tcPr>
            <w:tcW w:w="43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 w:val="20"/>
                <w:szCs w:val="20"/>
                <w:highlight w:val="none"/>
              </w:rPr>
            </w:pPr>
            <w:r>
              <w:rPr>
                <w:rFonts w:ascii="宋体" w:hAnsi="宋体"/>
                <w:color w:val="auto"/>
                <w:kern w:val="0"/>
                <w:sz w:val="20"/>
                <w:szCs w:val="20"/>
                <w:highlight w:val="none"/>
              </w:rPr>
              <w:t>1</w:t>
            </w:r>
            <w:r>
              <w:rPr>
                <w:rFonts w:hint="eastAsia" w:ascii="宋体" w:hAnsi="宋体"/>
                <w:color w:val="auto"/>
                <w:kern w:val="0"/>
                <w:sz w:val="20"/>
                <w:szCs w:val="20"/>
                <w:highlight w:val="none"/>
              </w:rPr>
              <w:t>、组织框架层级结构是否合理；</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17" w:hRule="atLeast"/>
        </w:trPr>
        <w:tc>
          <w:tcPr>
            <w:tcW w:w="7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1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43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 w:val="20"/>
                <w:szCs w:val="20"/>
                <w:highlight w:val="none"/>
              </w:rPr>
            </w:pPr>
            <w:r>
              <w:rPr>
                <w:rFonts w:ascii="宋体" w:hAnsi="宋体"/>
                <w:color w:val="auto"/>
                <w:kern w:val="0"/>
                <w:sz w:val="20"/>
                <w:szCs w:val="20"/>
                <w:highlight w:val="none"/>
              </w:rPr>
              <w:t>2</w:t>
            </w:r>
            <w:r>
              <w:rPr>
                <w:rFonts w:hint="eastAsia" w:ascii="宋体" w:hAnsi="宋体"/>
                <w:color w:val="auto"/>
                <w:kern w:val="0"/>
                <w:sz w:val="20"/>
                <w:szCs w:val="20"/>
                <w:highlight w:val="none"/>
              </w:rPr>
              <w:t>、配置人员素质情况、教育培训情况；</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17" w:hRule="atLeast"/>
        </w:trPr>
        <w:tc>
          <w:tcPr>
            <w:tcW w:w="7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1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43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 w:val="20"/>
                <w:szCs w:val="20"/>
                <w:highlight w:val="none"/>
              </w:rPr>
            </w:pPr>
            <w:r>
              <w:rPr>
                <w:rFonts w:ascii="宋体" w:hAnsi="宋体"/>
                <w:color w:val="auto"/>
                <w:kern w:val="0"/>
                <w:sz w:val="20"/>
                <w:szCs w:val="20"/>
                <w:highlight w:val="none"/>
              </w:rPr>
              <w:t>3</w:t>
            </w:r>
            <w:r>
              <w:rPr>
                <w:rFonts w:hint="eastAsia" w:ascii="宋体" w:hAnsi="宋体"/>
                <w:color w:val="auto"/>
                <w:kern w:val="0"/>
                <w:sz w:val="20"/>
                <w:szCs w:val="20"/>
                <w:highlight w:val="none"/>
              </w:rPr>
              <w:t>、所有人员配置到位情况、变动备案情况；</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17" w:hRule="atLeast"/>
        </w:trPr>
        <w:tc>
          <w:tcPr>
            <w:tcW w:w="76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olor w:val="auto"/>
                <w:kern w:val="0"/>
                <w:sz w:val="20"/>
                <w:szCs w:val="20"/>
                <w:highlight w:val="none"/>
              </w:rPr>
              <w:t>7</w:t>
            </w:r>
          </w:p>
        </w:tc>
        <w:tc>
          <w:tcPr>
            <w:tcW w:w="111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制度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建设</w:t>
            </w:r>
          </w:p>
        </w:tc>
        <w:tc>
          <w:tcPr>
            <w:tcW w:w="433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1、是否已制订工作目标、规划和具体实施方案</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r>
              <w:rPr>
                <w:rFonts w:ascii="宋体" w:hAnsi="宋体"/>
                <w:color w:val="auto"/>
                <w:kern w:val="0"/>
                <w:sz w:val="20"/>
                <w:szCs w:val="20"/>
                <w:highlight w:val="none"/>
              </w:rPr>
              <w:t>　</w:t>
            </w:r>
          </w:p>
        </w:tc>
      </w:tr>
      <w:tr>
        <w:tblPrEx>
          <w:tblLayout w:type="fixed"/>
          <w:tblCellMar>
            <w:top w:w="0" w:type="dxa"/>
            <w:left w:w="108" w:type="dxa"/>
            <w:bottom w:w="0" w:type="dxa"/>
            <w:right w:w="108" w:type="dxa"/>
          </w:tblCellMar>
        </w:tblPrEx>
        <w:trPr>
          <w:trHeight w:val="317" w:hRule="atLeast"/>
        </w:trPr>
        <w:tc>
          <w:tcPr>
            <w:tcW w:w="765"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olor w:val="auto"/>
                <w:kern w:val="0"/>
                <w:sz w:val="20"/>
                <w:szCs w:val="20"/>
                <w:highlight w:val="none"/>
              </w:rPr>
            </w:pPr>
          </w:p>
        </w:tc>
        <w:tc>
          <w:tcPr>
            <w:tcW w:w="1113"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0"/>
                <w:szCs w:val="20"/>
                <w:highlight w:val="none"/>
              </w:rPr>
            </w:pPr>
          </w:p>
        </w:tc>
        <w:tc>
          <w:tcPr>
            <w:tcW w:w="433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2、是否已建立健全各项管理制度、各岗位工作标准并上墙，并制定具体的落实措施和考核办法</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r>
              <w:rPr>
                <w:rFonts w:ascii="宋体" w:hAnsi="宋体"/>
                <w:color w:val="auto"/>
                <w:kern w:val="0"/>
                <w:sz w:val="20"/>
                <w:szCs w:val="20"/>
                <w:highlight w:val="none"/>
              </w:rPr>
              <w:t>　</w:t>
            </w:r>
          </w:p>
        </w:tc>
      </w:tr>
      <w:tr>
        <w:tblPrEx>
          <w:tblLayout w:type="fixed"/>
          <w:tblCellMar>
            <w:top w:w="0" w:type="dxa"/>
            <w:left w:w="108" w:type="dxa"/>
            <w:bottom w:w="0" w:type="dxa"/>
            <w:right w:w="108" w:type="dxa"/>
          </w:tblCellMar>
        </w:tblPrEx>
        <w:trPr>
          <w:trHeight w:val="317" w:hRule="atLeast"/>
        </w:trPr>
        <w:tc>
          <w:tcPr>
            <w:tcW w:w="7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1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433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3、是否编制了各类操作规程，配备所需专业技术人员并严格执行操作规程</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r>
              <w:rPr>
                <w:rFonts w:ascii="宋体" w:hAnsi="宋体"/>
                <w:color w:val="auto"/>
                <w:kern w:val="0"/>
                <w:sz w:val="20"/>
                <w:szCs w:val="20"/>
                <w:highlight w:val="none"/>
              </w:rPr>
              <w:t>　</w:t>
            </w:r>
          </w:p>
        </w:tc>
      </w:tr>
      <w:tr>
        <w:tblPrEx>
          <w:tblLayout w:type="fixed"/>
          <w:tblCellMar>
            <w:top w:w="0" w:type="dxa"/>
            <w:left w:w="108" w:type="dxa"/>
            <w:bottom w:w="0" w:type="dxa"/>
            <w:right w:w="108" w:type="dxa"/>
          </w:tblCellMar>
        </w:tblPrEx>
        <w:trPr>
          <w:trHeight w:val="317" w:hRule="atLeast"/>
        </w:trPr>
        <w:tc>
          <w:tcPr>
            <w:tcW w:w="7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1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433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4、是否制订各类验收标准、记录，编制维保计划并明确审批程序、实施流程，并严格执行</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r>
              <w:rPr>
                <w:rFonts w:ascii="宋体" w:hAnsi="宋体"/>
                <w:color w:val="auto"/>
                <w:kern w:val="0"/>
                <w:sz w:val="20"/>
                <w:szCs w:val="20"/>
                <w:highlight w:val="none"/>
              </w:rPr>
              <w:t>　</w:t>
            </w:r>
          </w:p>
        </w:tc>
      </w:tr>
      <w:tr>
        <w:tblPrEx>
          <w:tblLayout w:type="fixed"/>
          <w:tblCellMar>
            <w:top w:w="0" w:type="dxa"/>
            <w:left w:w="108" w:type="dxa"/>
            <w:bottom w:w="0" w:type="dxa"/>
            <w:right w:w="108" w:type="dxa"/>
          </w:tblCellMar>
        </w:tblPrEx>
        <w:trPr>
          <w:trHeight w:val="317" w:hRule="atLeast"/>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1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433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kern w:val="0"/>
                <w:sz w:val="20"/>
                <w:szCs w:val="20"/>
                <w:highlight w:val="none"/>
              </w:rPr>
            </w:pPr>
            <w:r>
              <w:rPr>
                <w:rFonts w:ascii="宋体" w:hAnsi="宋体"/>
                <w:color w:val="auto"/>
                <w:kern w:val="0"/>
                <w:sz w:val="20"/>
                <w:szCs w:val="20"/>
                <w:highlight w:val="none"/>
              </w:rPr>
              <w:t>5</w:t>
            </w:r>
            <w:r>
              <w:rPr>
                <w:rFonts w:hint="eastAsia" w:ascii="宋体" w:hAnsi="宋体"/>
                <w:color w:val="auto"/>
                <w:kern w:val="0"/>
                <w:sz w:val="20"/>
                <w:szCs w:val="20"/>
                <w:highlight w:val="none"/>
              </w:rPr>
              <w:t>、各项制度制定的合理性、全面性及落实情况；</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r>
              <w:rPr>
                <w:rFonts w:ascii="宋体" w:hAnsi="宋体"/>
                <w:color w:val="auto"/>
                <w:kern w:val="0"/>
                <w:sz w:val="20"/>
                <w:szCs w:val="20"/>
                <w:highlight w:val="none"/>
              </w:rPr>
              <w:t>　</w:t>
            </w:r>
          </w:p>
        </w:tc>
      </w:tr>
      <w:tr>
        <w:tblPrEx>
          <w:tblLayout w:type="fixed"/>
          <w:tblCellMar>
            <w:top w:w="0" w:type="dxa"/>
            <w:left w:w="108" w:type="dxa"/>
            <w:bottom w:w="0" w:type="dxa"/>
            <w:right w:w="108" w:type="dxa"/>
          </w:tblCellMar>
        </w:tblPrEx>
        <w:trPr>
          <w:trHeight w:val="317" w:hRule="atLeast"/>
        </w:trPr>
        <w:tc>
          <w:tcPr>
            <w:tcW w:w="6213" w:type="dxa"/>
            <w:gridSpan w:val="3"/>
            <w:tcBorders>
              <w:top w:val="nil"/>
              <w:left w:val="single" w:color="auto" w:sz="4" w:space="0"/>
              <w:bottom w:val="single" w:color="auto" w:sz="4" w:space="0"/>
              <w:right w:val="single" w:color="auto" w:sz="4" w:space="0"/>
            </w:tcBorders>
            <w:vAlign w:val="center"/>
          </w:tcPr>
          <w:p>
            <w:pPr>
              <w:widowControl/>
              <w:rPr>
                <w:rFonts w:ascii="宋体" w:hAnsi="宋体"/>
                <w:color w:val="auto"/>
                <w:kern w:val="0"/>
                <w:sz w:val="22"/>
                <w:szCs w:val="22"/>
                <w:highlight w:val="none"/>
              </w:rPr>
            </w:pPr>
            <w:r>
              <w:rPr>
                <w:rFonts w:hint="eastAsia" w:ascii="宋体" w:hAnsi="宋体"/>
                <w:color w:val="auto"/>
                <w:kern w:val="0"/>
                <w:sz w:val="22"/>
                <w:szCs w:val="22"/>
                <w:highlight w:val="none"/>
              </w:rPr>
              <w:t>合         计</w:t>
            </w:r>
          </w:p>
        </w:tc>
        <w:tc>
          <w:tcPr>
            <w:tcW w:w="2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p>
        </w:tc>
        <w:tc>
          <w:tcPr>
            <w:tcW w:w="141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olor w:val="auto"/>
                <w:kern w:val="0"/>
                <w:sz w:val="20"/>
                <w:szCs w:val="20"/>
                <w:highlight w:val="none"/>
              </w:rPr>
              <w:t>100</w:t>
            </w:r>
          </w:p>
        </w:tc>
      </w:tr>
    </w:tbl>
    <w:p>
      <w:pPr>
        <w:spacing w:line="440" w:lineRule="exact"/>
        <w:rPr>
          <w:rFonts w:ascii="宋体" w:hAnsi="宋体" w:cs="宋体"/>
          <w:bCs/>
          <w:color w:val="auto"/>
          <w:sz w:val="22"/>
          <w:szCs w:val="22"/>
          <w:highlight w:val="none"/>
        </w:rPr>
      </w:pPr>
    </w:p>
    <w:p>
      <w:pPr>
        <w:pStyle w:val="9"/>
        <w:ind w:firstLine="210"/>
        <w:rPr>
          <w:rFonts w:ascii="宋体" w:hAnsi="宋体"/>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tabs>
          <w:tab w:val="left" w:pos="1767"/>
        </w:tabs>
        <w:jc w:val="left"/>
        <w:rPr>
          <w:rFonts w:ascii="宋体" w:hAnsi="宋体" w:cs="宋体"/>
          <w:color w:val="auto"/>
          <w:szCs w:val="21"/>
          <w:highlight w:val="none"/>
        </w:rPr>
      </w:pPr>
      <w:r>
        <w:rPr>
          <w:rFonts w:hint="eastAsia"/>
          <w:color w:val="auto"/>
          <w:highlight w:val="none"/>
        </w:rPr>
        <w:tab/>
      </w:r>
    </w:p>
    <w:p>
      <w:pPr>
        <w:pStyle w:val="14"/>
        <w:snapToGrid w:val="0"/>
        <w:spacing w:line="360" w:lineRule="auto"/>
        <w:jc w:val="center"/>
        <w:rPr>
          <w:rFonts w:ascii="宋体" w:hAnsi="宋体" w:eastAsia="宋体" w:cs="宋体"/>
          <w:color w:val="auto"/>
          <w:highlight w:val="none"/>
        </w:rPr>
      </w:pPr>
    </w:p>
    <w:p>
      <w:pPr>
        <w:pStyle w:val="14"/>
        <w:snapToGrid w:val="0"/>
        <w:spacing w:line="360" w:lineRule="auto"/>
        <w:ind w:firstLine="420" w:firstLineChars="200"/>
        <w:rPr>
          <w:rFonts w:ascii="宋体" w:hAnsi="宋体" w:eastAsia="宋体" w:cs="宋体"/>
          <w:color w:val="auto"/>
          <w:highlight w:val="none"/>
        </w:rPr>
      </w:pPr>
    </w:p>
    <w:bookmarkEnd w:id="172"/>
    <w:bookmarkEnd w:id="173"/>
    <w:bookmarkEnd w:id="174"/>
    <w:bookmarkEnd w:id="175"/>
    <w:bookmarkEnd w:id="176"/>
    <w:bookmarkEnd w:id="177"/>
    <w:bookmarkEnd w:id="178"/>
    <w:bookmarkEnd w:id="179"/>
    <w:bookmarkEnd w:id="180"/>
    <w:bookmarkEnd w:id="181"/>
    <w:bookmarkEnd w:id="182"/>
    <w:bookmarkEnd w:id="183"/>
    <w:p>
      <w:pPr>
        <w:pStyle w:val="3"/>
        <w:spacing w:before="240" w:beforeLines="100"/>
        <w:rPr>
          <w:rFonts w:ascii="宋体" w:hAnsi="宋体" w:eastAsia="宋体" w:cs="宋体"/>
          <w:color w:val="auto"/>
          <w:sz w:val="44"/>
          <w:szCs w:val="44"/>
          <w:highlight w:val="none"/>
        </w:rPr>
      </w:pPr>
      <w:bookmarkStart w:id="194" w:name="_Toc491780525"/>
      <w:r>
        <w:rPr>
          <w:rFonts w:hint="eastAsia" w:ascii="宋体" w:hAnsi="宋体" w:eastAsia="宋体" w:cs="宋体"/>
          <w:color w:val="auto"/>
          <w:sz w:val="44"/>
          <w:szCs w:val="44"/>
          <w:highlight w:val="none"/>
        </w:rPr>
        <w:br w:type="page"/>
      </w:r>
      <w:r>
        <w:rPr>
          <w:rFonts w:hint="eastAsia" w:ascii="宋体" w:hAnsi="宋体" w:eastAsia="宋体" w:cs="宋体"/>
          <w:color w:val="auto"/>
          <w:sz w:val="44"/>
          <w:szCs w:val="44"/>
          <w:highlight w:val="none"/>
        </w:rPr>
        <w:t>第三部分</w:t>
      </w:r>
      <w:bookmarkEnd w:id="184"/>
      <w:bookmarkEnd w:id="185"/>
      <w:bookmarkEnd w:id="186"/>
      <w:bookmarkEnd w:id="187"/>
      <w:bookmarkEnd w:id="188"/>
      <w:bookmarkEnd w:id="189"/>
      <w:bookmarkEnd w:id="190"/>
      <w:bookmarkEnd w:id="191"/>
      <w:bookmarkEnd w:id="192"/>
      <w:bookmarkEnd w:id="193"/>
      <w:r>
        <w:rPr>
          <w:rFonts w:hint="eastAsia" w:ascii="宋体" w:hAnsi="宋体" w:eastAsia="宋体" w:cs="宋体"/>
          <w:color w:val="auto"/>
          <w:sz w:val="44"/>
          <w:szCs w:val="44"/>
          <w:highlight w:val="none"/>
        </w:rPr>
        <w:t xml:space="preserve"> 投标文件的编制格式</w:t>
      </w:r>
      <w:bookmarkEnd w:id="194"/>
    </w:p>
    <w:p>
      <w:pPr>
        <w:spacing w:before="120" w:beforeLines="50" w:after="120" w:afterLines="50"/>
        <w:rPr>
          <w:rFonts w:ascii="宋体" w:hAnsi="宋体" w:cs="宋体"/>
          <w:color w:val="auto"/>
          <w:sz w:val="22"/>
          <w:szCs w:val="22"/>
          <w:highlight w:val="none"/>
        </w:rPr>
      </w:pPr>
    </w:p>
    <w:p>
      <w:pPr>
        <w:spacing w:before="120" w:beforeLines="50" w:after="120" w:afterLines="50"/>
        <w:rPr>
          <w:rFonts w:ascii="宋体" w:hAnsi="宋体" w:cs="宋体"/>
          <w:color w:val="auto"/>
          <w:sz w:val="22"/>
          <w:szCs w:val="22"/>
          <w:highlight w:val="none"/>
        </w:rPr>
      </w:pPr>
      <w:r>
        <w:rPr>
          <w:rFonts w:hint="eastAsia" w:ascii="宋体" w:hAnsi="宋体" w:cs="宋体"/>
          <w:color w:val="auto"/>
          <w:sz w:val="22"/>
          <w:szCs w:val="22"/>
          <w:highlight w:val="none"/>
        </w:rPr>
        <w:t>（技术资信标封面，供参考）</w:t>
      </w:r>
    </w:p>
    <w:p>
      <w:pPr>
        <w:jc w:val="right"/>
        <w:rPr>
          <w:rFonts w:ascii="宋体" w:hAnsi="宋体" w:cs="宋体"/>
          <w:color w:val="auto"/>
          <w:highlight w:val="none"/>
        </w:rPr>
      </w:pPr>
      <w:r>
        <w:rPr>
          <w:rFonts w:hint="eastAsia" w:ascii="宋体" w:hAnsi="宋体" w:cs="宋体"/>
          <w:color w:val="auto"/>
          <w:highlight w:val="none"/>
        </w:rPr>
        <w:t>正/副本</w:t>
      </w:r>
    </w:p>
    <w:p>
      <w:pPr>
        <w:pStyle w:val="10"/>
        <w:rPr>
          <w:rFonts w:ascii="宋体" w:hAnsi="宋体" w:eastAsia="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u w:val="single"/>
        </w:rPr>
        <w:t xml:space="preserve">                 （项目名称）              </w:t>
      </w:r>
      <w:r>
        <w:rPr>
          <w:rFonts w:hint="eastAsia" w:ascii="宋体" w:hAnsi="宋体" w:cs="宋体"/>
          <w:color w:val="auto"/>
          <w:sz w:val="28"/>
          <w:szCs w:val="28"/>
          <w:highlight w:val="none"/>
        </w:rPr>
        <w:t>投标文件</w:t>
      </w:r>
    </w:p>
    <w:p>
      <w:pPr>
        <w:rPr>
          <w:rFonts w:ascii="宋体" w:hAnsi="宋体" w:cs="宋体"/>
          <w:color w:val="auto"/>
          <w:sz w:val="28"/>
          <w:szCs w:val="28"/>
          <w:highlight w:val="none"/>
        </w:rPr>
      </w:pPr>
    </w:p>
    <w:p>
      <w:pPr>
        <w:rPr>
          <w:rFonts w:ascii="宋体" w:hAnsi="宋体" w:cs="宋体"/>
          <w:color w:val="auto"/>
          <w:sz w:val="28"/>
          <w:szCs w:val="28"/>
          <w:highlight w:val="none"/>
        </w:rPr>
      </w:pPr>
    </w:p>
    <w:p>
      <w:pPr>
        <w:pStyle w:val="9"/>
        <w:ind w:firstLine="280"/>
        <w:rPr>
          <w:rFonts w:ascii="宋体" w:hAnsi="宋体" w:eastAsia="宋体" w:cs="宋体"/>
          <w:color w:val="auto"/>
          <w:sz w:val="28"/>
          <w:szCs w:val="28"/>
          <w:highlight w:val="none"/>
        </w:rPr>
      </w:pPr>
    </w:p>
    <w:p>
      <w:pPr>
        <w:pStyle w:val="9"/>
        <w:ind w:firstLine="280"/>
        <w:rPr>
          <w:rFonts w:ascii="宋体" w:hAnsi="宋体" w:eastAsia="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jc w:val="center"/>
        <w:rPr>
          <w:rFonts w:ascii="宋体" w:hAnsi="宋体" w:cs="宋体"/>
          <w:color w:val="auto"/>
          <w:sz w:val="52"/>
          <w:szCs w:val="52"/>
          <w:highlight w:val="none"/>
        </w:rPr>
      </w:pPr>
      <w:r>
        <w:rPr>
          <w:rFonts w:hint="eastAsia" w:ascii="宋体" w:hAnsi="宋体" w:cs="宋体"/>
          <w:color w:val="auto"/>
          <w:sz w:val="52"/>
          <w:szCs w:val="52"/>
          <w:highlight w:val="none"/>
        </w:rPr>
        <w:t>技 术 资 信 标</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pStyle w:val="9"/>
        <w:ind w:firstLine="210"/>
        <w:rPr>
          <w:rFonts w:ascii="宋体" w:hAnsi="宋体" w:eastAsia="宋体" w:cs="宋体"/>
          <w:color w:val="auto"/>
          <w:highlight w:val="none"/>
        </w:rPr>
      </w:pPr>
    </w:p>
    <w:p>
      <w:pPr>
        <w:spacing w:line="360" w:lineRule="auto"/>
        <w:rPr>
          <w:rFonts w:ascii="宋体" w:hAnsi="宋体" w:cs="宋体"/>
          <w:color w:val="auto"/>
          <w:szCs w:val="21"/>
          <w:highlight w:val="non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 xml:space="preserve"> 投标人：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（盖单位章）</w:t>
      </w:r>
    </w:p>
    <w:p>
      <w:pPr>
        <w:rPr>
          <w:rFonts w:ascii="宋体" w:hAnsi="宋体" w:cs="宋体"/>
          <w:color w:val="auto"/>
          <w:sz w:val="28"/>
          <w:szCs w:val="28"/>
          <w:highlight w:val="none"/>
          <w:u w:val="single"/>
        </w:rPr>
      </w:pPr>
    </w:p>
    <w:p>
      <w:pPr>
        <w:ind w:firstLine="1400" w:firstLineChars="500"/>
        <w:rPr>
          <w:rFonts w:ascii="宋体" w:hAnsi="宋体" w:cs="宋体"/>
          <w:color w:val="auto"/>
          <w:sz w:val="28"/>
          <w:szCs w:val="28"/>
          <w:highlight w:val="none"/>
        </w:rPr>
      </w:pPr>
      <w:r>
        <w:rPr>
          <w:rFonts w:hint="eastAsia" w:ascii="宋体" w:hAnsi="宋体" w:cs="宋体"/>
          <w:color w:val="auto"/>
          <w:sz w:val="28"/>
          <w:szCs w:val="28"/>
          <w:highlight w:val="none"/>
        </w:rPr>
        <w:t>法定代表人或其授权代表：</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（签字或盖章）</w:t>
      </w:r>
    </w:p>
    <w:p>
      <w:pPr>
        <w:rPr>
          <w:rFonts w:ascii="宋体" w:hAnsi="宋体" w:cs="宋体"/>
          <w:color w:val="auto"/>
          <w:sz w:val="28"/>
          <w:szCs w:val="28"/>
          <w:highlight w:val="none"/>
        </w:rPr>
      </w:pPr>
    </w:p>
    <w:p>
      <w:pPr>
        <w:spacing w:line="460" w:lineRule="exact"/>
        <w:jc w:val="center"/>
        <w:rPr>
          <w:rFonts w:ascii="宋体" w:hAnsi="宋体" w:cs="宋体"/>
          <w:b/>
          <w:bCs/>
          <w:color w:val="auto"/>
          <w:sz w:val="28"/>
          <w:szCs w:val="28"/>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r>
        <w:rPr>
          <w:rFonts w:hint="eastAsia" w:ascii="宋体" w:hAnsi="宋体" w:cs="宋体"/>
          <w:b/>
          <w:bCs/>
          <w:color w:val="auto"/>
          <w:sz w:val="28"/>
          <w:szCs w:val="28"/>
          <w:highlight w:val="none"/>
        </w:rPr>
        <w:br w:type="page"/>
      </w:r>
      <w:r>
        <w:rPr>
          <w:rFonts w:hint="eastAsia" w:ascii="宋体" w:hAnsi="宋体" w:cs="宋体"/>
          <w:b/>
          <w:bCs/>
          <w:color w:val="auto"/>
          <w:sz w:val="28"/>
          <w:szCs w:val="28"/>
          <w:highlight w:val="none"/>
        </w:rPr>
        <w:t>目录</w:t>
      </w:r>
    </w:p>
    <w:p>
      <w:pPr>
        <w:pStyle w:val="13"/>
        <w:ind w:left="0" w:firstLine="0" w:firstLineChars="0"/>
        <w:rPr>
          <w:rFonts w:ascii="宋体" w:hAnsi="宋体" w:cs="宋体"/>
          <w:color w:val="auto"/>
          <w:highlight w:val="none"/>
        </w:rPr>
      </w:pPr>
    </w:p>
    <w:p>
      <w:pPr>
        <w:pStyle w:val="13"/>
        <w:rPr>
          <w:rFonts w:ascii="宋体" w:hAnsi="宋体" w:cs="宋体"/>
          <w:color w:val="auto"/>
          <w:highlight w:val="none"/>
        </w:rPr>
      </w:pPr>
    </w:p>
    <w:tbl>
      <w:tblPr>
        <w:tblStyle w:val="27"/>
        <w:tblW w:w="92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7057"/>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序号</w:t>
            </w:r>
          </w:p>
        </w:tc>
        <w:tc>
          <w:tcPr>
            <w:tcW w:w="7057" w:type="dxa"/>
            <w:vAlign w:val="center"/>
          </w:tcPr>
          <w:p>
            <w:pPr>
              <w:spacing w:line="24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内容</w:t>
            </w:r>
          </w:p>
        </w:tc>
        <w:tc>
          <w:tcPr>
            <w:tcW w:w="1324" w:type="dxa"/>
            <w:vAlign w:val="center"/>
          </w:tcPr>
          <w:p>
            <w:pPr>
              <w:spacing w:line="24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7057" w:type="dxa"/>
            <w:vAlign w:val="center"/>
          </w:tcPr>
          <w:p>
            <w:pPr>
              <w:spacing w:line="240" w:lineRule="exact"/>
              <w:rPr>
                <w:rFonts w:ascii="宋体" w:hAnsi="宋体" w:cs="宋体"/>
                <w:b/>
                <w:color w:val="auto"/>
                <w:sz w:val="22"/>
                <w:szCs w:val="22"/>
                <w:highlight w:val="none"/>
              </w:rPr>
            </w:pPr>
            <w:r>
              <w:rPr>
                <w:rFonts w:hint="eastAsia" w:ascii="宋体" w:hAnsi="宋体" w:cs="宋体"/>
                <w:color w:val="auto"/>
                <w:sz w:val="22"/>
                <w:szCs w:val="22"/>
                <w:highlight w:val="none"/>
              </w:rPr>
              <w:t>投标函</w:t>
            </w:r>
          </w:p>
        </w:tc>
        <w:tc>
          <w:tcPr>
            <w:tcW w:w="1324" w:type="dxa"/>
            <w:vAlign w:val="center"/>
          </w:tcPr>
          <w:p>
            <w:pPr>
              <w:spacing w:line="240" w:lineRule="exact"/>
              <w:jc w:val="center"/>
              <w:rPr>
                <w:rFonts w:ascii="宋体" w:hAnsi="宋体" w:cs="宋体"/>
                <w:b/>
                <w:color w:val="auto"/>
                <w:sz w:val="22"/>
                <w:szCs w:val="22"/>
                <w:highlight w:val="none"/>
              </w:rPr>
            </w:pPr>
            <w:r>
              <w:rPr>
                <w:rFonts w:hint="eastAsia" w:ascii="宋体" w:hAnsi="宋体" w:cs="宋体"/>
                <w:color w:val="auto"/>
                <w:sz w:val="22"/>
                <w:szCs w:val="22"/>
                <w:highlight w:val="none"/>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（2）</w:t>
            </w:r>
          </w:p>
        </w:tc>
        <w:tc>
          <w:tcPr>
            <w:tcW w:w="7057" w:type="dxa"/>
            <w:vAlign w:val="center"/>
          </w:tcPr>
          <w:p>
            <w:pPr>
              <w:spacing w:line="240" w:lineRule="exact"/>
              <w:rPr>
                <w:rFonts w:ascii="宋体" w:hAnsi="宋体" w:cs="宋体"/>
                <w:bCs/>
                <w:color w:val="auto"/>
                <w:sz w:val="22"/>
                <w:szCs w:val="22"/>
                <w:highlight w:val="none"/>
              </w:rPr>
            </w:pPr>
            <w:r>
              <w:rPr>
                <w:rFonts w:hint="eastAsia" w:ascii="宋体" w:hAnsi="宋体" w:cs="宋体"/>
                <w:bCs/>
                <w:color w:val="auto"/>
                <w:sz w:val="22"/>
                <w:szCs w:val="22"/>
                <w:highlight w:val="none"/>
              </w:rPr>
              <w:t>技术规格、商务条款偏离表</w:t>
            </w:r>
          </w:p>
        </w:tc>
        <w:tc>
          <w:tcPr>
            <w:tcW w:w="1324" w:type="dxa"/>
            <w:vAlign w:val="center"/>
          </w:tcPr>
          <w:p>
            <w:pPr>
              <w:spacing w:line="240" w:lineRule="exact"/>
              <w:jc w:val="center"/>
              <w:rPr>
                <w:rFonts w:ascii="宋体" w:hAnsi="宋体" w:cs="宋体"/>
                <w:b/>
                <w:color w:val="auto"/>
                <w:sz w:val="22"/>
                <w:szCs w:val="22"/>
                <w:highlight w:val="none"/>
              </w:rPr>
            </w:pPr>
            <w:r>
              <w:rPr>
                <w:rFonts w:hint="eastAsia" w:ascii="宋体" w:hAnsi="宋体" w:cs="宋体"/>
                <w:color w:val="auto"/>
                <w:sz w:val="22"/>
                <w:szCs w:val="22"/>
                <w:highlight w:val="none"/>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（3）</w:t>
            </w:r>
          </w:p>
        </w:tc>
        <w:tc>
          <w:tcPr>
            <w:tcW w:w="7057" w:type="dxa"/>
            <w:vAlign w:val="center"/>
          </w:tcPr>
          <w:p>
            <w:pPr>
              <w:spacing w:line="240" w:lineRule="exact"/>
              <w:rPr>
                <w:rFonts w:ascii="宋体" w:hAnsi="宋体" w:cs="宋体"/>
                <w:color w:val="auto"/>
                <w:sz w:val="22"/>
                <w:szCs w:val="22"/>
                <w:highlight w:val="none"/>
                <w:u w:val="single"/>
              </w:rPr>
            </w:pPr>
            <w:r>
              <w:rPr>
                <w:rFonts w:hint="eastAsia" w:ascii="宋体" w:hAnsi="宋体" w:cs="宋体"/>
                <w:b/>
                <w:bCs/>
                <w:color w:val="auto"/>
                <w:sz w:val="22"/>
                <w:szCs w:val="22"/>
                <w:highlight w:val="none"/>
                <w:u w:val="single"/>
              </w:rPr>
              <w:t>▲</w:t>
            </w:r>
            <w:r>
              <w:rPr>
                <w:rFonts w:hint="eastAsia" w:ascii="宋体" w:hAnsi="宋体" w:cs="宋体"/>
                <w:b/>
                <w:color w:val="auto"/>
                <w:sz w:val="22"/>
                <w:szCs w:val="22"/>
                <w:highlight w:val="none"/>
                <w:u w:val="single"/>
              </w:rPr>
              <w:t>资格证明文件（本部分为投标人资格审查内容，为实质性要求）：</w:t>
            </w:r>
          </w:p>
        </w:tc>
        <w:tc>
          <w:tcPr>
            <w:tcW w:w="1324"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7057" w:type="dxa"/>
            <w:vAlign w:val="center"/>
          </w:tcPr>
          <w:p>
            <w:pPr>
              <w:tabs>
                <w:tab w:val="left" w:pos="5355"/>
              </w:tabs>
              <w:spacing w:line="240" w:lineRule="exact"/>
              <w:rPr>
                <w:rFonts w:ascii="宋体" w:hAnsi="宋体" w:cs="宋体"/>
                <w:b/>
                <w:color w:val="auto"/>
                <w:sz w:val="22"/>
                <w:szCs w:val="22"/>
                <w:highlight w:val="none"/>
              </w:rPr>
            </w:pPr>
            <w:r>
              <w:rPr>
                <w:rFonts w:hint="eastAsia" w:ascii="宋体" w:hAnsi="宋体" w:cs="宋体"/>
                <w:color w:val="auto"/>
                <w:sz w:val="22"/>
                <w:szCs w:val="22"/>
                <w:highlight w:val="none"/>
              </w:rPr>
              <w:t>法定代表人授权书</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2)</w:t>
            </w:r>
          </w:p>
        </w:tc>
        <w:tc>
          <w:tcPr>
            <w:tcW w:w="7057" w:type="dxa"/>
            <w:vAlign w:val="center"/>
          </w:tcPr>
          <w:p>
            <w:pPr>
              <w:tabs>
                <w:tab w:val="left" w:pos="5355"/>
              </w:tabs>
              <w:spacing w:line="240" w:lineRule="exact"/>
              <w:rPr>
                <w:rFonts w:ascii="宋体" w:hAnsi="宋体" w:cs="宋体"/>
                <w:color w:val="auto"/>
                <w:sz w:val="22"/>
                <w:szCs w:val="22"/>
                <w:highlight w:val="none"/>
              </w:rPr>
            </w:pPr>
            <w:r>
              <w:rPr>
                <w:rFonts w:hint="eastAsia" w:ascii="宋体" w:hAnsi="宋体" w:cs="宋体"/>
                <w:color w:val="auto"/>
                <w:sz w:val="22"/>
                <w:szCs w:val="22"/>
                <w:highlight w:val="none"/>
              </w:rPr>
              <w:t>企业法人有效营业执照</w:t>
            </w:r>
            <w:r>
              <w:rPr>
                <w:rFonts w:hint="eastAsia" w:ascii="宋体" w:hAnsi="宋体" w:cs="宋体"/>
                <w:snapToGrid w:val="0"/>
                <w:color w:val="auto"/>
                <w:kern w:val="0"/>
                <w:sz w:val="22"/>
                <w:szCs w:val="22"/>
                <w:highlight w:val="none"/>
              </w:rPr>
              <w:t>（复印件加盖单位公章）</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 xml:space="preserve"> 3）</w:t>
            </w:r>
          </w:p>
        </w:tc>
        <w:tc>
          <w:tcPr>
            <w:tcW w:w="7057" w:type="dxa"/>
            <w:vAlign w:val="center"/>
          </w:tcPr>
          <w:p>
            <w:pPr>
              <w:tabs>
                <w:tab w:val="left" w:pos="5355"/>
              </w:tabs>
              <w:spacing w:line="240" w:lineRule="exact"/>
              <w:rPr>
                <w:rFonts w:ascii="宋体" w:hAnsi="宋体" w:cs="宋体"/>
                <w:color w:val="auto"/>
                <w:sz w:val="22"/>
                <w:szCs w:val="22"/>
                <w:highlight w:val="none"/>
              </w:rPr>
            </w:pPr>
            <w:r>
              <w:rPr>
                <w:rFonts w:hint="eastAsia" w:ascii="宋体" w:hAnsi="宋体" w:cs="宋体"/>
                <w:color w:val="auto"/>
                <w:sz w:val="22"/>
                <w:szCs w:val="22"/>
                <w:highlight w:val="none"/>
              </w:rPr>
              <w:t>公安部门颁发的有效的《保安服务许可证》（复印件加盖单位公章）</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4)</w:t>
            </w:r>
          </w:p>
        </w:tc>
        <w:tc>
          <w:tcPr>
            <w:tcW w:w="7057" w:type="dxa"/>
            <w:vAlign w:val="center"/>
          </w:tcPr>
          <w:p>
            <w:pPr>
              <w:tabs>
                <w:tab w:val="left" w:pos="5355"/>
              </w:tabs>
              <w:spacing w:line="240" w:lineRule="exact"/>
              <w:rPr>
                <w:rFonts w:ascii="宋体" w:hAnsi="宋体" w:cs="宋体"/>
                <w:color w:val="auto"/>
                <w:sz w:val="22"/>
                <w:szCs w:val="22"/>
                <w:highlight w:val="none"/>
              </w:rPr>
            </w:pPr>
            <w:r>
              <w:rPr>
                <w:rFonts w:hint="eastAsia" w:ascii="新宋体" w:hAnsi="新宋体" w:eastAsia="新宋体" w:cs="新宋体"/>
                <w:bCs/>
                <w:color w:val="auto"/>
                <w:sz w:val="22"/>
                <w:szCs w:val="22"/>
                <w:highlight w:val="none"/>
              </w:rPr>
              <w:t>投标人“信用中国”(www.creditchina.gov.cn)；“中国政府采购网”（http://www.ccgp.gov.cn/）信用记录网页截图（查询时间：采购公告发布之日至投标截止时间前均可）（具体以开标当日采购人或采购代理机构网页查询结果为准）</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5)</w:t>
            </w:r>
          </w:p>
        </w:tc>
        <w:tc>
          <w:tcPr>
            <w:tcW w:w="7057" w:type="dxa"/>
            <w:vAlign w:val="center"/>
          </w:tcPr>
          <w:p>
            <w:pPr>
              <w:tabs>
                <w:tab w:val="left" w:pos="5355"/>
              </w:tabs>
              <w:spacing w:line="240" w:lineRule="exact"/>
              <w:rPr>
                <w:rFonts w:ascii="宋体" w:hAnsi="宋体" w:cs="宋体"/>
                <w:color w:val="auto"/>
                <w:sz w:val="22"/>
                <w:szCs w:val="22"/>
                <w:highlight w:val="none"/>
              </w:rPr>
            </w:pPr>
            <w:r>
              <w:rPr>
                <w:rFonts w:hint="eastAsia" w:ascii="宋体" w:hAnsi="宋体" w:cs="宋体"/>
                <w:color w:val="auto"/>
                <w:sz w:val="22"/>
                <w:szCs w:val="22"/>
                <w:highlight w:val="none"/>
              </w:rPr>
              <w:t>无重大违法记录声明书</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（4）</w:t>
            </w:r>
          </w:p>
        </w:tc>
        <w:tc>
          <w:tcPr>
            <w:tcW w:w="7057" w:type="dxa"/>
            <w:vAlign w:val="center"/>
          </w:tcPr>
          <w:p>
            <w:pPr>
              <w:spacing w:line="240" w:lineRule="exact"/>
              <w:rPr>
                <w:rFonts w:ascii="宋体" w:hAnsi="宋体" w:cs="宋体"/>
                <w:color w:val="auto"/>
                <w:sz w:val="22"/>
                <w:szCs w:val="22"/>
                <w:highlight w:val="none"/>
              </w:rPr>
            </w:pPr>
            <w:r>
              <w:rPr>
                <w:rFonts w:hint="eastAsia" w:ascii="宋体" w:hAnsi="宋体" w:cs="宋体"/>
                <w:color w:val="auto"/>
                <w:sz w:val="22"/>
                <w:szCs w:val="22"/>
                <w:highlight w:val="none"/>
              </w:rPr>
              <w:t>投标人综合实力（根据评分内容提供相关材料）</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（5）</w:t>
            </w:r>
          </w:p>
        </w:tc>
        <w:tc>
          <w:tcPr>
            <w:tcW w:w="7057" w:type="dxa"/>
            <w:vAlign w:val="center"/>
          </w:tcPr>
          <w:p>
            <w:pPr>
              <w:tabs>
                <w:tab w:val="left" w:pos="5355"/>
              </w:tabs>
              <w:spacing w:line="240" w:lineRule="exact"/>
              <w:rPr>
                <w:rFonts w:ascii="宋体" w:hAnsi="宋体" w:cs="宋体"/>
                <w:color w:val="auto"/>
                <w:sz w:val="22"/>
                <w:szCs w:val="22"/>
                <w:highlight w:val="none"/>
              </w:rPr>
            </w:pPr>
            <w:r>
              <w:rPr>
                <w:rFonts w:hint="eastAsia" w:ascii="宋体" w:hAnsi="宋体" w:cs="宋体"/>
                <w:color w:val="auto"/>
                <w:sz w:val="22"/>
                <w:szCs w:val="22"/>
                <w:highlight w:val="none"/>
              </w:rPr>
              <w:t>类似项目业绩</w:t>
            </w:r>
          </w:p>
        </w:tc>
        <w:tc>
          <w:tcPr>
            <w:tcW w:w="1324"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（6）</w:t>
            </w:r>
          </w:p>
        </w:tc>
        <w:tc>
          <w:tcPr>
            <w:tcW w:w="7057" w:type="dxa"/>
            <w:vAlign w:val="center"/>
          </w:tcPr>
          <w:p>
            <w:pPr>
              <w:tabs>
                <w:tab w:val="left" w:pos="5355"/>
              </w:tabs>
              <w:spacing w:line="240" w:lineRule="exact"/>
              <w:rPr>
                <w:rFonts w:ascii="宋体" w:hAnsi="宋体" w:cs="宋体"/>
                <w:color w:val="auto"/>
                <w:sz w:val="22"/>
                <w:szCs w:val="22"/>
                <w:highlight w:val="none"/>
              </w:rPr>
            </w:pPr>
            <w:r>
              <w:rPr>
                <w:rFonts w:ascii="宋体" w:hAnsi="宋体" w:cs="Arial"/>
                <w:color w:val="auto"/>
                <w:sz w:val="22"/>
                <w:szCs w:val="22"/>
                <w:highlight w:val="none"/>
              </w:rPr>
              <w:t>项目服务人员一览表</w:t>
            </w:r>
          </w:p>
        </w:tc>
        <w:tc>
          <w:tcPr>
            <w:tcW w:w="1324"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7057" w:type="dxa"/>
            <w:vAlign w:val="center"/>
          </w:tcPr>
          <w:p>
            <w:pPr>
              <w:autoSpaceDE w:val="0"/>
              <w:autoSpaceDN w:val="0"/>
              <w:snapToGrid w:val="0"/>
              <w:ind w:hanging="10"/>
              <w:jc w:val="left"/>
              <w:rPr>
                <w:rFonts w:ascii="宋体" w:hAnsi="宋体" w:cs="宋体"/>
                <w:color w:val="auto"/>
                <w:sz w:val="22"/>
                <w:szCs w:val="22"/>
                <w:highlight w:val="none"/>
              </w:rPr>
            </w:pPr>
            <w:r>
              <w:rPr>
                <w:rFonts w:hint="eastAsia" w:ascii="宋体" w:hAnsi="宋体" w:cs="宋体"/>
                <w:color w:val="auto"/>
                <w:sz w:val="22"/>
                <w:szCs w:val="22"/>
                <w:highlight w:val="none"/>
              </w:rPr>
              <w:t>项目负责人资格情况表</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2)</w:t>
            </w:r>
          </w:p>
        </w:tc>
        <w:tc>
          <w:tcPr>
            <w:tcW w:w="7057" w:type="dxa"/>
            <w:vAlign w:val="center"/>
          </w:tcPr>
          <w:p>
            <w:pPr>
              <w:autoSpaceDE w:val="0"/>
              <w:autoSpaceDN w:val="0"/>
              <w:snapToGrid w:val="0"/>
              <w:ind w:hanging="10"/>
              <w:jc w:val="left"/>
              <w:rPr>
                <w:rFonts w:ascii="宋体" w:hAnsi="宋体" w:cs="宋体"/>
                <w:color w:val="auto"/>
                <w:sz w:val="22"/>
                <w:szCs w:val="22"/>
                <w:highlight w:val="none"/>
              </w:rPr>
            </w:pPr>
            <w:r>
              <w:rPr>
                <w:rFonts w:hint="eastAsia" w:ascii="宋体" w:hAnsi="宋体" w:cs="宋体"/>
                <w:color w:val="auto"/>
                <w:sz w:val="22"/>
                <w:szCs w:val="22"/>
                <w:highlight w:val="none"/>
              </w:rPr>
              <w:t>项目服务人员名单</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（7）</w:t>
            </w:r>
          </w:p>
        </w:tc>
        <w:tc>
          <w:tcPr>
            <w:tcW w:w="7057" w:type="dxa"/>
            <w:vAlign w:val="center"/>
          </w:tcPr>
          <w:p>
            <w:pPr>
              <w:autoSpaceDE w:val="0"/>
              <w:autoSpaceDN w:val="0"/>
              <w:snapToGrid w:val="0"/>
              <w:ind w:hanging="10"/>
              <w:jc w:val="left"/>
              <w:rPr>
                <w:rFonts w:ascii="宋体" w:hAnsi="宋体" w:cs="宋体"/>
                <w:color w:val="auto"/>
                <w:sz w:val="22"/>
                <w:szCs w:val="22"/>
                <w:highlight w:val="none"/>
              </w:rPr>
            </w:pPr>
            <w:r>
              <w:rPr>
                <w:rFonts w:hint="eastAsia" w:ascii="宋体" w:hAnsi="宋体" w:cs="宋体"/>
                <w:color w:val="auto"/>
                <w:sz w:val="22"/>
                <w:szCs w:val="22"/>
                <w:highlight w:val="none"/>
              </w:rPr>
              <w:t>服务实施方案</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7057" w:type="dxa"/>
            <w:vAlign w:val="center"/>
          </w:tcPr>
          <w:p>
            <w:pPr>
              <w:autoSpaceDE w:val="0"/>
              <w:autoSpaceDN w:val="0"/>
              <w:snapToGrid w:val="0"/>
              <w:ind w:hanging="10"/>
              <w:jc w:val="left"/>
              <w:rPr>
                <w:rFonts w:ascii="宋体" w:hAnsi="宋体" w:cs="宋体"/>
                <w:color w:val="auto"/>
                <w:sz w:val="22"/>
                <w:szCs w:val="22"/>
                <w:highlight w:val="none"/>
              </w:rPr>
            </w:pPr>
            <w:r>
              <w:rPr>
                <w:rFonts w:hint="eastAsia" w:ascii="宋体" w:hAnsi="宋体" w:cs="宋体"/>
                <w:color w:val="auto"/>
                <w:sz w:val="22"/>
                <w:szCs w:val="22"/>
                <w:highlight w:val="none"/>
              </w:rPr>
              <w:t>项目具体实施方案</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2)</w:t>
            </w:r>
          </w:p>
        </w:tc>
        <w:tc>
          <w:tcPr>
            <w:tcW w:w="7057" w:type="dxa"/>
            <w:vAlign w:val="center"/>
          </w:tcPr>
          <w:p>
            <w:pPr>
              <w:autoSpaceDE w:val="0"/>
              <w:autoSpaceDN w:val="0"/>
              <w:snapToGrid w:val="0"/>
              <w:ind w:hanging="10"/>
              <w:jc w:val="left"/>
              <w:rPr>
                <w:rFonts w:ascii="宋体" w:hAnsi="宋体" w:cs="宋体"/>
                <w:color w:val="auto"/>
                <w:sz w:val="22"/>
                <w:szCs w:val="22"/>
                <w:highlight w:val="none"/>
              </w:rPr>
            </w:pPr>
            <w:r>
              <w:rPr>
                <w:rFonts w:hint="eastAsia" w:ascii="宋体" w:hAnsi="宋体" w:cs="Arial"/>
                <w:color w:val="auto"/>
                <w:sz w:val="22"/>
                <w:szCs w:val="22"/>
                <w:highlight w:val="none"/>
              </w:rPr>
              <w:t>各项管理规章制度及考核方法</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3)</w:t>
            </w:r>
          </w:p>
        </w:tc>
        <w:tc>
          <w:tcPr>
            <w:tcW w:w="7057" w:type="dxa"/>
            <w:vAlign w:val="center"/>
          </w:tcPr>
          <w:p>
            <w:pPr>
              <w:autoSpaceDE w:val="0"/>
              <w:autoSpaceDN w:val="0"/>
              <w:snapToGrid w:val="0"/>
              <w:ind w:hanging="10"/>
              <w:jc w:val="left"/>
              <w:rPr>
                <w:rFonts w:ascii="宋体" w:hAnsi="宋体" w:cs="宋体"/>
                <w:color w:val="auto"/>
                <w:sz w:val="22"/>
                <w:szCs w:val="22"/>
                <w:highlight w:val="none"/>
              </w:rPr>
            </w:pPr>
            <w:r>
              <w:rPr>
                <w:rFonts w:hint="eastAsia" w:ascii="宋体" w:hAnsi="宋体" w:cs="Arial"/>
                <w:color w:val="auto"/>
                <w:sz w:val="22"/>
                <w:szCs w:val="22"/>
                <w:highlight w:val="none"/>
              </w:rPr>
              <w:t>针对本项目特点和难点分析及解决措施</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（8）</w:t>
            </w:r>
          </w:p>
        </w:tc>
        <w:tc>
          <w:tcPr>
            <w:tcW w:w="7057" w:type="dxa"/>
            <w:vAlign w:val="center"/>
          </w:tcPr>
          <w:p>
            <w:pPr>
              <w:tabs>
                <w:tab w:val="left" w:pos="5355"/>
              </w:tabs>
              <w:spacing w:line="240" w:lineRule="exact"/>
              <w:rPr>
                <w:rFonts w:ascii="宋体" w:hAnsi="宋体" w:cs="宋体"/>
                <w:color w:val="auto"/>
                <w:sz w:val="22"/>
                <w:szCs w:val="22"/>
                <w:highlight w:val="none"/>
              </w:rPr>
            </w:pPr>
            <w:r>
              <w:rPr>
                <w:rFonts w:hint="eastAsia" w:ascii="宋体" w:hAnsi="宋体" w:cs="Arial"/>
                <w:color w:val="auto"/>
                <w:sz w:val="22"/>
                <w:szCs w:val="22"/>
                <w:highlight w:val="none"/>
              </w:rPr>
              <w:t>服务提升方案</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（9）</w:t>
            </w:r>
          </w:p>
        </w:tc>
        <w:tc>
          <w:tcPr>
            <w:tcW w:w="7057" w:type="dxa"/>
            <w:vAlign w:val="center"/>
          </w:tcPr>
          <w:p>
            <w:pPr>
              <w:tabs>
                <w:tab w:val="left" w:pos="5355"/>
              </w:tabs>
              <w:spacing w:line="240" w:lineRule="exact"/>
              <w:rPr>
                <w:rFonts w:ascii="宋体" w:hAnsi="宋体" w:cs="Arial"/>
                <w:color w:val="auto"/>
                <w:sz w:val="22"/>
                <w:szCs w:val="22"/>
                <w:highlight w:val="none"/>
              </w:rPr>
            </w:pPr>
            <w:r>
              <w:rPr>
                <w:rFonts w:hint="eastAsia" w:ascii="宋体" w:hAnsi="宋体" w:cs="Arial"/>
                <w:color w:val="auto"/>
                <w:sz w:val="22"/>
                <w:szCs w:val="22"/>
                <w:highlight w:val="none"/>
              </w:rPr>
              <w:t>预案体系建设方案</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rPr>
                <w:rFonts w:ascii="宋体" w:hAnsi="宋体" w:cs="宋体"/>
                <w:color w:val="auto"/>
                <w:sz w:val="22"/>
                <w:szCs w:val="22"/>
                <w:highlight w:val="none"/>
              </w:rPr>
            </w:pPr>
            <w:r>
              <w:rPr>
                <w:rFonts w:hint="eastAsia" w:ascii="宋体" w:hAnsi="宋体" w:cs="宋体"/>
                <w:color w:val="auto"/>
                <w:sz w:val="22"/>
                <w:szCs w:val="22"/>
                <w:highlight w:val="none"/>
              </w:rPr>
              <w:t>（10）</w:t>
            </w:r>
          </w:p>
        </w:tc>
        <w:tc>
          <w:tcPr>
            <w:tcW w:w="7057" w:type="dxa"/>
            <w:vAlign w:val="center"/>
          </w:tcPr>
          <w:p>
            <w:pPr>
              <w:tabs>
                <w:tab w:val="left" w:pos="5355"/>
              </w:tabs>
              <w:spacing w:line="240" w:lineRule="exact"/>
              <w:rPr>
                <w:rFonts w:ascii="宋体" w:hAnsi="宋体" w:cs="Arial"/>
                <w:color w:val="auto"/>
                <w:sz w:val="22"/>
                <w:szCs w:val="22"/>
                <w:highlight w:val="none"/>
              </w:rPr>
            </w:pPr>
            <w:r>
              <w:rPr>
                <w:rFonts w:hint="eastAsia" w:ascii="宋体" w:hAnsi="宋体" w:cs="Arial"/>
                <w:color w:val="auto"/>
                <w:sz w:val="22"/>
                <w:szCs w:val="22"/>
                <w:highlight w:val="none"/>
              </w:rPr>
              <w:t>企业员工培训计划及方案</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（11）</w:t>
            </w:r>
          </w:p>
        </w:tc>
        <w:tc>
          <w:tcPr>
            <w:tcW w:w="7057" w:type="dxa"/>
            <w:vAlign w:val="center"/>
          </w:tcPr>
          <w:p>
            <w:pPr>
              <w:tabs>
                <w:tab w:val="left" w:pos="5355"/>
              </w:tabs>
              <w:spacing w:line="240" w:lineRule="exact"/>
              <w:rPr>
                <w:rFonts w:ascii="宋体" w:hAnsi="宋体" w:cs="Arial"/>
                <w:color w:val="auto"/>
                <w:sz w:val="22"/>
                <w:szCs w:val="22"/>
                <w:highlight w:val="none"/>
              </w:rPr>
            </w:pPr>
            <w:r>
              <w:rPr>
                <w:rFonts w:hint="eastAsia" w:ascii="宋体" w:hAnsi="宋体"/>
                <w:snapToGrid w:val="0"/>
                <w:color w:val="auto"/>
                <w:sz w:val="22"/>
                <w:szCs w:val="22"/>
                <w:highlight w:val="none"/>
              </w:rPr>
              <w:t>优惠承诺</w:t>
            </w:r>
          </w:p>
        </w:tc>
        <w:tc>
          <w:tcPr>
            <w:tcW w:w="1324" w:type="dxa"/>
            <w:vAlign w:val="center"/>
          </w:tcPr>
          <w:p>
            <w:pPr>
              <w:spacing w:line="2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vAlign w:val="center"/>
          </w:tcPr>
          <w:p>
            <w:pPr>
              <w:spacing w:line="2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（12）</w:t>
            </w:r>
          </w:p>
        </w:tc>
        <w:tc>
          <w:tcPr>
            <w:tcW w:w="7057" w:type="dxa"/>
            <w:vAlign w:val="center"/>
          </w:tcPr>
          <w:p>
            <w:pPr>
              <w:tabs>
                <w:tab w:val="left" w:pos="5355"/>
              </w:tabs>
              <w:spacing w:line="240" w:lineRule="exact"/>
              <w:rPr>
                <w:rFonts w:ascii="宋体" w:hAnsi="宋体" w:cs="宋体"/>
                <w:color w:val="auto"/>
                <w:sz w:val="22"/>
                <w:szCs w:val="22"/>
                <w:highlight w:val="none"/>
              </w:rPr>
            </w:pPr>
            <w:r>
              <w:rPr>
                <w:rFonts w:hint="eastAsia" w:ascii="宋体" w:hAnsi="宋体" w:cs="宋体"/>
                <w:color w:val="auto"/>
                <w:sz w:val="22"/>
                <w:szCs w:val="22"/>
                <w:highlight w:val="none"/>
              </w:rPr>
              <w:t>投标人需要说明的跟本次投标有关的其他资料和说明</w:t>
            </w:r>
          </w:p>
        </w:tc>
        <w:tc>
          <w:tcPr>
            <w:tcW w:w="1324" w:type="dxa"/>
            <w:vAlign w:val="center"/>
          </w:tcPr>
          <w:p>
            <w:pPr>
              <w:spacing w:line="240" w:lineRule="exact"/>
              <w:jc w:val="center"/>
              <w:rPr>
                <w:rFonts w:ascii="宋体" w:hAnsi="宋体" w:cs="宋体"/>
                <w:color w:val="auto"/>
                <w:sz w:val="22"/>
                <w:szCs w:val="22"/>
                <w:highlight w:val="none"/>
              </w:rPr>
            </w:pPr>
          </w:p>
        </w:tc>
      </w:tr>
    </w:tbl>
    <w:p>
      <w:pPr>
        <w:spacing w:line="460" w:lineRule="exact"/>
        <w:jc w:val="center"/>
        <w:rPr>
          <w:rFonts w:ascii="宋体" w:hAnsi="宋体" w:cs="宋体"/>
          <w:b/>
          <w:bCs/>
          <w:color w:val="auto"/>
          <w:sz w:val="28"/>
          <w:szCs w:val="28"/>
          <w:highlight w:val="none"/>
        </w:rPr>
      </w:pPr>
    </w:p>
    <w:p>
      <w:pPr>
        <w:spacing w:line="460" w:lineRule="exact"/>
        <w:jc w:val="center"/>
        <w:rPr>
          <w:rFonts w:ascii="宋体" w:hAnsi="宋体" w:cs="宋体"/>
          <w:b/>
          <w:bCs/>
          <w:color w:val="auto"/>
          <w:sz w:val="28"/>
          <w:szCs w:val="28"/>
          <w:highlight w:val="none"/>
        </w:rPr>
      </w:pPr>
    </w:p>
    <w:p>
      <w:pPr>
        <w:overflowPunct w:val="0"/>
        <w:spacing w:line="46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br w:type="page"/>
      </w:r>
      <w:r>
        <w:rPr>
          <w:rFonts w:hint="eastAsia" w:ascii="宋体" w:hAnsi="宋体" w:cs="宋体"/>
          <w:b/>
          <w:bCs/>
          <w:color w:val="auto"/>
          <w:sz w:val="24"/>
          <w:highlight w:val="none"/>
        </w:rPr>
        <w:t>附件一  投 标 函</w:t>
      </w:r>
    </w:p>
    <w:p>
      <w:pPr>
        <w:overflowPunct w:val="0"/>
        <w:spacing w:line="46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投 标 函</w:t>
      </w:r>
    </w:p>
    <w:p>
      <w:pPr>
        <w:overflowPunct w:val="0"/>
        <w:spacing w:line="420" w:lineRule="exact"/>
        <w:rPr>
          <w:rFonts w:ascii="宋体" w:hAnsi="宋体" w:cs="宋体"/>
          <w:color w:val="auto"/>
          <w:sz w:val="22"/>
          <w:szCs w:val="22"/>
          <w:highlight w:val="none"/>
        </w:rPr>
      </w:pPr>
      <w:r>
        <w:rPr>
          <w:rFonts w:hint="eastAsia" w:ascii="宋体" w:hAnsi="宋体" w:cs="宋体"/>
          <w:color w:val="auto"/>
          <w:sz w:val="22"/>
          <w:szCs w:val="22"/>
          <w:highlight w:val="none"/>
        </w:rPr>
        <w:t>温州快鹿集团公司：</w:t>
      </w:r>
    </w:p>
    <w:p>
      <w:pPr>
        <w:overflowPunct w:val="0"/>
        <w:spacing w:line="420" w:lineRule="exact"/>
        <w:rPr>
          <w:rFonts w:ascii="宋体" w:hAnsi="宋体" w:cs="宋体"/>
          <w:color w:val="auto"/>
          <w:sz w:val="22"/>
          <w:szCs w:val="22"/>
          <w:highlight w:val="none"/>
        </w:rPr>
      </w:pPr>
      <w:r>
        <w:rPr>
          <w:rFonts w:hint="eastAsia" w:ascii="宋体" w:hAnsi="宋体" w:cs="宋体"/>
          <w:color w:val="auto"/>
          <w:sz w:val="22"/>
          <w:szCs w:val="22"/>
          <w:highlight w:val="none"/>
        </w:rPr>
        <w:t>浙江信诚项目管理有限公司：</w:t>
      </w:r>
    </w:p>
    <w:p>
      <w:pPr>
        <w:overflowPunct w:val="0"/>
        <w:spacing w:line="42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根据贵方为</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项目（采购编号：</w:t>
      </w:r>
      <w:r>
        <w:rPr>
          <w:rFonts w:hint="eastAsia" w:ascii="宋体" w:hAnsi="宋体" w:cs="宋体"/>
          <w:b/>
          <w:color w:val="auto"/>
          <w:sz w:val="22"/>
          <w:szCs w:val="22"/>
          <w:highlight w:val="none"/>
          <w:u w:val="single"/>
        </w:rPr>
        <w:t xml:space="preserve">       </w:t>
      </w:r>
      <w:r>
        <w:rPr>
          <w:rFonts w:hint="eastAsia" w:ascii="宋体" w:hAnsi="宋体" w:cs="宋体"/>
          <w:b/>
          <w:color w:val="auto"/>
          <w:sz w:val="22"/>
          <w:szCs w:val="22"/>
          <w:highlight w:val="none"/>
        </w:rPr>
        <w:t xml:space="preserve"> </w:t>
      </w:r>
      <w:r>
        <w:rPr>
          <w:rFonts w:hint="eastAsia" w:ascii="宋体" w:hAnsi="宋体" w:cs="宋体"/>
          <w:color w:val="auto"/>
          <w:sz w:val="22"/>
          <w:szCs w:val="22"/>
          <w:highlight w:val="none"/>
        </w:rPr>
        <w:t>）的投标邀请，我方</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（投标人名称）作为投标人正式授权</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（授权代表全名，职务）代表我方处理有关本投标的一切事宜。</w:t>
      </w:r>
    </w:p>
    <w:p>
      <w:pPr>
        <w:pStyle w:val="12"/>
        <w:overflowPunct w:val="0"/>
        <w:spacing w:line="420" w:lineRule="exact"/>
        <w:ind w:firstLine="440"/>
        <w:rPr>
          <w:rFonts w:ascii="宋体" w:hAnsi="宋体" w:eastAsia="宋体" w:cs="宋体"/>
          <w:color w:val="auto"/>
          <w:sz w:val="22"/>
          <w:highlight w:val="none"/>
        </w:rPr>
      </w:pPr>
      <w:r>
        <w:rPr>
          <w:rFonts w:hint="eastAsia" w:ascii="宋体" w:hAnsi="宋体" w:eastAsia="宋体" w:cs="宋体"/>
          <w:color w:val="auto"/>
          <w:sz w:val="22"/>
          <w:szCs w:val="22"/>
          <w:highlight w:val="none"/>
        </w:rPr>
        <w:t>在此提交的投标文件中，包括如下内</w:t>
      </w:r>
      <w:r>
        <w:rPr>
          <w:rFonts w:hint="eastAsia" w:ascii="宋体" w:hAnsi="宋体" w:eastAsia="宋体" w:cs="宋体"/>
          <w:color w:val="auto"/>
          <w:sz w:val="22"/>
          <w:highlight w:val="none"/>
        </w:rPr>
        <w:t>容，并已分别单独密封装袋：</w:t>
      </w:r>
    </w:p>
    <w:p>
      <w:pPr>
        <w:overflowPunct w:val="0"/>
        <w:spacing w:line="420" w:lineRule="exact"/>
        <w:ind w:firstLine="330" w:firstLineChars="150"/>
        <w:rPr>
          <w:rFonts w:ascii="宋体" w:hAnsi="宋体" w:cs="宋体"/>
          <w:color w:val="auto"/>
          <w:sz w:val="22"/>
          <w:highlight w:val="none"/>
        </w:rPr>
      </w:pPr>
      <w:r>
        <w:rPr>
          <w:rFonts w:hint="eastAsia" w:ascii="宋体" w:hAnsi="宋体" w:cs="宋体"/>
          <w:color w:val="auto"/>
          <w:sz w:val="22"/>
          <w:highlight w:val="none"/>
        </w:rPr>
        <w:t>（—）按“投标人须知”要求编制的投标文件技术标【正本一份，副本伍份】；</w:t>
      </w:r>
    </w:p>
    <w:p>
      <w:pPr>
        <w:overflowPunct w:val="0"/>
        <w:spacing w:line="420" w:lineRule="exact"/>
        <w:ind w:firstLine="330" w:firstLineChars="150"/>
        <w:rPr>
          <w:rFonts w:ascii="宋体" w:hAnsi="宋体" w:cs="宋体"/>
          <w:color w:val="auto"/>
          <w:sz w:val="22"/>
          <w:highlight w:val="none"/>
        </w:rPr>
      </w:pPr>
      <w:r>
        <w:rPr>
          <w:rFonts w:hint="eastAsia" w:ascii="宋体" w:hAnsi="宋体" w:cs="宋体"/>
          <w:color w:val="auto"/>
          <w:sz w:val="22"/>
          <w:highlight w:val="none"/>
        </w:rPr>
        <w:t>（二）按“投标人须知”要求编制的投标文件商务（报价）标【正本一份，副本伍份】</w:t>
      </w:r>
    </w:p>
    <w:p>
      <w:pPr>
        <w:overflowPunct w:val="0"/>
        <w:spacing w:line="420" w:lineRule="exact"/>
        <w:ind w:firstLine="330" w:firstLineChars="150"/>
        <w:rPr>
          <w:rFonts w:ascii="宋体" w:hAnsi="宋体" w:cs="宋体"/>
          <w:color w:val="auto"/>
          <w:sz w:val="22"/>
          <w:highlight w:val="none"/>
        </w:rPr>
      </w:pPr>
      <w:r>
        <w:rPr>
          <w:rFonts w:hint="eastAsia" w:ascii="宋体" w:hAnsi="宋体" w:cs="宋体"/>
          <w:color w:val="auto"/>
          <w:sz w:val="22"/>
          <w:highlight w:val="none"/>
        </w:rPr>
        <w:t>我方己完全明白采购文件的所有条款要求，并重申以下几点：</w:t>
      </w:r>
    </w:p>
    <w:p>
      <w:pPr>
        <w:overflowPunct w:val="0"/>
        <w:spacing w:line="420" w:lineRule="exact"/>
        <w:ind w:left="1019" w:leftChars="171" w:hanging="660" w:hangingChars="300"/>
        <w:rPr>
          <w:rFonts w:ascii="宋体" w:hAnsi="宋体" w:cs="宋体"/>
          <w:color w:val="auto"/>
          <w:sz w:val="22"/>
          <w:highlight w:val="none"/>
        </w:rPr>
      </w:pPr>
      <w:r>
        <w:rPr>
          <w:rFonts w:hint="eastAsia" w:ascii="宋体" w:hAnsi="宋体" w:cs="宋体"/>
          <w:color w:val="auto"/>
          <w:sz w:val="22"/>
          <w:highlight w:val="none"/>
        </w:rPr>
        <w:t>（一）本投标文件的有效期自投标截止日起</w:t>
      </w:r>
      <w:r>
        <w:rPr>
          <w:rFonts w:hint="eastAsia" w:ascii="宋体" w:hAnsi="宋体" w:cs="宋体"/>
          <w:b/>
          <w:color w:val="auto"/>
          <w:sz w:val="22"/>
          <w:highlight w:val="none"/>
          <w:u w:val="single"/>
        </w:rPr>
        <w:t xml:space="preserve"> 90 </w:t>
      </w:r>
      <w:r>
        <w:rPr>
          <w:rFonts w:hint="eastAsia" w:ascii="宋体" w:hAnsi="宋体" w:cs="宋体"/>
          <w:b/>
          <w:color w:val="auto"/>
          <w:sz w:val="22"/>
          <w:highlight w:val="none"/>
        </w:rPr>
        <w:t>天内</w:t>
      </w:r>
      <w:r>
        <w:rPr>
          <w:rFonts w:hint="eastAsia" w:ascii="宋体" w:hAnsi="宋体" w:cs="宋体"/>
          <w:color w:val="auto"/>
          <w:sz w:val="22"/>
          <w:highlight w:val="none"/>
        </w:rPr>
        <w:t>有效，如中标，有效期将延至合同终止日为止；</w:t>
      </w:r>
    </w:p>
    <w:p>
      <w:pPr>
        <w:overflowPunct w:val="0"/>
        <w:spacing w:line="420" w:lineRule="exact"/>
        <w:ind w:left="1019" w:leftChars="171" w:hanging="660" w:hangingChars="300"/>
        <w:rPr>
          <w:rFonts w:ascii="宋体" w:hAnsi="宋体" w:cs="宋体"/>
          <w:color w:val="auto"/>
          <w:sz w:val="22"/>
          <w:highlight w:val="none"/>
        </w:rPr>
      </w:pPr>
      <w:r>
        <w:rPr>
          <w:rFonts w:hint="eastAsia" w:ascii="宋体" w:hAnsi="宋体" w:cs="宋体"/>
          <w:color w:val="auto"/>
          <w:sz w:val="22"/>
          <w:highlight w:val="none"/>
        </w:rPr>
        <w:t>（二）我方已详细研究了采购文件的所有内容包括补充修改文件（如有）和所有已提供的参考资料以及有关附件，我方完全理解并同意放弃在此方面提出含糊意见或误解的一切权力；</w:t>
      </w:r>
    </w:p>
    <w:p>
      <w:pPr>
        <w:overflowPunct w:val="0"/>
        <w:spacing w:line="420" w:lineRule="exact"/>
        <w:ind w:left="1019" w:leftChars="171" w:hanging="660" w:hangingChars="300"/>
        <w:rPr>
          <w:rFonts w:ascii="宋体" w:hAnsi="宋体" w:cs="宋体"/>
          <w:color w:val="auto"/>
          <w:sz w:val="22"/>
          <w:highlight w:val="none"/>
        </w:rPr>
      </w:pPr>
      <w:r>
        <w:rPr>
          <w:rFonts w:hint="eastAsia" w:ascii="宋体" w:hAnsi="宋体" w:cs="宋体"/>
          <w:color w:val="auto"/>
          <w:sz w:val="22"/>
          <w:highlight w:val="none"/>
        </w:rPr>
        <w:t>（三）我方明白并愿意在规定的开标时间之后，投标人在投标有效期内撤回投标，其投标保证金将被贵方没收；</w:t>
      </w:r>
    </w:p>
    <w:p>
      <w:pPr>
        <w:overflowPunct w:val="0"/>
        <w:spacing w:line="420" w:lineRule="exact"/>
        <w:ind w:left="359" w:leftChars="171"/>
        <w:rPr>
          <w:rFonts w:ascii="宋体" w:hAnsi="宋体" w:cs="宋体"/>
          <w:color w:val="auto"/>
          <w:sz w:val="22"/>
          <w:highlight w:val="none"/>
        </w:rPr>
      </w:pPr>
      <w:r>
        <w:rPr>
          <w:rFonts w:hint="eastAsia" w:ascii="宋体" w:hAnsi="宋体" w:cs="宋体"/>
          <w:color w:val="auto"/>
          <w:sz w:val="22"/>
          <w:highlight w:val="none"/>
        </w:rPr>
        <w:t>（四）我方同意提供按照贵方可能要求的与投标有关的一切数据或资料；</w:t>
      </w:r>
    </w:p>
    <w:p>
      <w:pPr>
        <w:overflowPunct w:val="0"/>
        <w:spacing w:line="420" w:lineRule="exact"/>
        <w:ind w:left="359" w:leftChars="171"/>
        <w:rPr>
          <w:rFonts w:ascii="宋体" w:hAnsi="宋体" w:cs="宋体"/>
          <w:color w:val="auto"/>
          <w:sz w:val="22"/>
          <w:highlight w:val="none"/>
        </w:rPr>
      </w:pPr>
      <w:r>
        <w:rPr>
          <w:rFonts w:hint="eastAsia" w:ascii="宋体" w:hAnsi="宋体" w:cs="宋体"/>
          <w:color w:val="auto"/>
          <w:sz w:val="22"/>
          <w:highlight w:val="none"/>
        </w:rPr>
        <w:t>（五）我方理解贵方不一定接受最低报价。</w:t>
      </w:r>
    </w:p>
    <w:p>
      <w:pPr>
        <w:overflowPunct w:val="0"/>
        <w:spacing w:line="420" w:lineRule="exact"/>
        <w:ind w:left="1019" w:leftChars="171" w:hanging="660" w:hangingChars="300"/>
        <w:rPr>
          <w:rFonts w:ascii="宋体" w:hAnsi="宋体" w:cs="宋体"/>
          <w:color w:val="auto"/>
          <w:sz w:val="22"/>
          <w:highlight w:val="none"/>
        </w:rPr>
      </w:pPr>
      <w:r>
        <w:rPr>
          <w:rFonts w:hint="eastAsia" w:ascii="宋体" w:hAnsi="宋体" w:cs="宋体"/>
          <w:color w:val="auto"/>
          <w:sz w:val="22"/>
          <w:highlight w:val="none"/>
        </w:rPr>
        <w:t>（六）我方如果中标，将保证履行采购文件以及采购文件修改书（如有）中的全部责任和义务，按质、按量、按期完成《合同书》中的全部任务。</w:t>
      </w:r>
    </w:p>
    <w:p>
      <w:pPr>
        <w:overflowPunct w:val="0"/>
        <w:spacing w:line="420" w:lineRule="exact"/>
        <w:ind w:left="315"/>
        <w:rPr>
          <w:rFonts w:ascii="宋体" w:hAnsi="宋体" w:cs="宋体"/>
          <w:color w:val="auto"/>
          <w:sz w:val="22"/>
          <w:szCs w:val="22"/>
          <w:highlight w:val="none"/>
        </w:rPr>
      </w:pPr>
      <w:r>
        <w:rPr>
          <w:rFonts w:hint="eastAsia" w:ascii="宋体" w:hAnsi="宋体" w:cs="宋体"/>
          <w:color w:val="auto"/>
          <w:sz w:val="22"/>
          <w:highlight w:val="none"/>
        </w:rPr>
        <w:t>（七）所有与本投标有关的函件请发往下列地址：</w:t>
      </w:r>
    </w:p>
    <w:p>
      <w:pPr>
        <w:overflowPunct w:val="0"/>
        <w:spacing w:line="420" w:lineRule="exact"/>
        <w:ind w:firstLine="435"/>
        <w:rPr>
          <w:rFonts w:ascii="宋体" w:hAnsi="宋体" w:cs="宋体"/>
          <w:color w:val="auto"/>
          <w:sz w:val="22"/>
          <w:szCs w:val="22"/>
          <w:highlight w:val="none"/>
        </w:rPr>
      </w:pPr>
      <w:r>
        <w:rPr>
          <w:rFonts w:hint="eastAsia" w:ascii="宋体" w:hAnsi="宋体" w:cs="宋体"/>
          <w:color w:val="auto"/>
          <w:sz w:val="22"/>
          <w:szCs w:val="22"/>
          <w:highlight w:val="none"/>
        </w:rPr>
        <w:t xml:space="preserve">   地址</w:t>
      </w:r>
      <w:r>
        <w:rPr>
          <w:rFonts w:hint="eastAsia" w:ascii="宋体" w:hAnsi="宋体" w:cs="宋体"/>
          <w:color w:val="auto"/>
          <w:sz w:val="22"/>
          <w:szCs w:val="22"/>
          <w:highlight w:val="none"/>
          <w:u w:val="single"/>
        </w:rPr>
        <w:t xml:space="preserve">                           </w:t>
      </w:r>
    </w:p>
    <w:p>
      <w:pPr>
        <w:overflowPunct w:val="0"/>
        <w:spacing w:line="420" w:lineRule="exact"/>
        <w:ind w:firstLine="435"/>
        <w:rPr>
          <w:rFonts w:ascii="宋体" w:hAnsi="宋体" w:cs="宋体"/>
          <w:color w:val="auto"/>
          <w:sz w:val="22"/>
          <w:szCs w:val="22"/>
          <w:highlight w:val="none"/>
        </w:rPr>
      </w:pPr>
      <w:r>
        <w:rPr>
          <w:rFonts w:hint="eastAsia" w:ascii="宋体" w:hAnsi="宋体" w:cs="宋体"/>
          <w:color w:val="auto"/>
          <w:sz w:val="22"/>
          <w:szCs w:val="22"/>
          <w:highlight w:val="none"/>
        </w:rPr>
        <w:t xml:space="preserve">   电话</w:t>
      </w:r>
      <w:r>
        <w:rPr>
          <w:rFonts w:hint="eastAsia" w:ascii="宋体" w:hAnsi="宋体" w:cs="宋体"/>
          <w:color w:val="auto"/>
          <w:sz w:val="22"/>
          <w:szCs w:val="22"/>
          <w:highlight w:val="none"/>
          <w:u w:val="single"/>
        </w:rPr>
        <w:t xml:space="preserve">                           </w:t>
      </w:r>
    </w:p>
    <w:p>
      <w:pPr>
        <w:overflowPunct w:val="0"/>
        <w:spacing w:line="420" w:lineRule="exact"/>
        <w:ind w:firstLine="435"/>
        <w:rPr>
          <w:rFonts w:ascii="宋体" w:hAnsi="宋体" w:cs="宋体"/>
          <w:color w:val="auto"/>
          <w:sz w:val="22"/>
          <w:szCs w:val="22"/>
          <w:highlight w:val="none"/>
          <w:u w:val="single"/>
        </w:rPr>
      </w:pPr>
      <w:r>
        <w:rPr>
          <w:rFonts w:hint="eastAsia" w:ascii="宋体" w:hAnsi="宋体" w:cs="宋体"/>
          <w:color w:val="auto"/>
          <w:sz w:val="22"/>
          <w:szCs w:val="22"/>
          <w:highlight w:val="none"/>
        </w:rPr>
        <w:t xml:space="preserve">   传真</w:t>
      </w:r>
      <w:r>
        <w:rPr>
          <w:rFonts w:hint="eastAsia" w:ascii="宋体" w:hAnsi="宋体" w:cs="宋体"/>
          <w:color w:val="auto"/>
          <w:sz w:val="22"/>
          <w:szCs w:val="22"/>
          <w:highlight w:val="none"/>
          <w:u w:val="single"/>
        </w:rPr>
        <w:t xml:space="preserve">                           </w:t>
      </w:r>
    </w:p>
    <w:p>
      <w:pPr>
        <w:overflowPunct w:val="0"/>
        <w:spacing w:line="420" w:lineRule="exact"/>
        <w:ind w:firstLine="770" w:firstLineChars="350"/>
        <w:rPr>
          <w:rFonts w:ascii="宋体" w:hAnsi="宋体" w:cs="宋体"/>
          <w:color w:val="auto"/>
          <w:sz w:val="22"/>
          <w:szCs w:val="22"/>
          <w:highlight w:val="none"/>
          <w:u w:val="single"/>
        </w:rPr>
      </w:pPr>
      <w:r>
        <w:rPr>
          <w:rFonts w:hint="eastAsia" w:ascii="宋体" w:hAnsi="宋体" w:cs="宋体"/>
          <w:color w:val="auto"/>
          <w:sz w:val="22"/>
          <w:szCs w:val="22"/>
          <w:highlight w:val="none"/>
        </w:rPr>
        <w:t>电子邮件</w:t>
      </w:r>
      <w:r>
        <w:rPr>
          <w:rFonts w:hint="eastAsia" w:ascii="宋体" w:hAnsi="宋体" w:cs="宋体"/>
          <w:color w:val="auto"/>
          <w:sz w:val="22"/>
          <w:szCs w:val="22"/>
          <w:highlight w:val="none"/>
          <w:u w:val="single"/>
        </w:rPr>
        <w:t xml:space="preserve">                       </w:t>
      </w:r>
    </w:p>
    <w:p>
      <w:pPr>
        <w:spacing w:line="360" w:lineRule="auto"/>
        <w:rPr>
          <w:rFonts w:ascii="宋体" w:hAnsi="宋体" w:cs="宋体"/>
          <w:bCs/>
          <w:color w:val="auto"/>
          <w:sz w:val="22"/>
          <w:szCs w:val="22"/>
          <w:highlight w:val="none"/>
        </w:rPr>
      </w:pPr>
    </w:p>
    <w:p>
      <w:pPr>
        <w:spacing w:line="360" w:lineRule="auto"/>
        <w:rPr>
          <w:rFonts w:ascii="宋体" w:hAnsi="宋体" w:cs="宋体"/>
          <w:bCs/>
          <w:color w:val="auto"/>
          <w:sz w:val="22"/>
          <w:szCs w:val="22"/>
          <w:highlight w:val="none"/>
        </w:rPr>
      </w:pPr>
      <w:r>
        <w:rPr>
          <w:rFonts w:hint="eastAsia" w:ascii="宋体" w:hAnsi="宋体" w:cs="宋体"/>
          <w:bCs/>
          <w:color w:val="auto"/>
          <w:sz w:val="22"/>
          <w:szCs w:val="22"/>
          <w:highlight w:val="none"/>
        </w:rPr>
        <w:t>投标人全称（盖章）：</w:t>
      </w:r>
    </w:p>
    <w:p>
      <w:pPr>
        <w:spacing w:line="360" w:lineRule="auto"/>
        <w:rPr>
          <w:rFonts w:ascii="宋体" w:hAnsi="宋体" w:cs="宋体"/>
          <w:bCs/>
          <w:color w:val="auto"/>
          <w:sz w:val="22"/>
          <w:szCs w:val="22"/>
          <w:highlight w:val="none"/>
        </w:rPr>
      </w:pPr>
      <w:r>
        <w:rPr>
          <w:rFonts w:hint="eastAsia" w:ascii="宋体" w:hAnsi="宋体" w:cs="宋体"/>
          <w:bCs/>
          <w:color w:val="auto"/>
          <w:sz w:val="22"/>
          <w:szCs w:val="22"/>
          <w:highlight w:val="none"/>
        </w:rPr>
        <w:t>法定代表人或授权代表（签字</w:t>
      </w:r>
      <w:r>
        <w:rPr>
          <w:rFonts w:hint="eastAsia" w:ascii="宋体" w:hAnsi="宋体" w:cs="宋体"/>
          <w:color w:val="auto"/>
          <w:sz w:val="22"/>
          <w:szCs w:val="22"/>
          <w:highlight w:val="none"/>
        </w:rPr>
        <w:t>或盖章</w:t>
      </w:r>
      <w:r>
        <w:rPr>
          <w:rFonts w:hint="eastAsia" w:ascii="宋体" w:hAnsi="宋体" w:cs="宋体"/>
          <w:bCs/>
          <w:color w:val="auto"/>
          <w:sz w:val="22"/>
          <w:szCs w:val="22"/>
          <w:highlight w:val="none"/>
        </w:rPr>
        <w:t>）：</w:t>
      </w:r>
    </w:p>
    <w:p>
      <w:pPr>
        <w:pStyle w:val="13"/>
        <w:spacing w:line="460" w:lineRule="exact"/>
        <w:ind w:left="431" w:hanging="431" w:hangingChars="196"/>
        <w:outlineLvl w:val="1"/>
        <w:rPr>
          <w:rFonts w:ascii="宋体" w:hAnsi="宋体" w:cs="宋体"/>
          <w:bCs/>
          <w:color w:val="auto"/>
          <w:sz w:val="22"/>
          <w:szCs w:val="22"/>
          <w:highlight w:val="none"/>
        </w:rPr>
      </w:pPr>
      <w:r>
        <w:rPr>
          <w:rFonts w:hint="eastAsia" w:ascii="宋体" w:hAnsi="宋体" w:cs="宋体"/>
          <w:bCs/>
          <w:color w:val="auto"/>
          <w:sz w:val="22"/>
          <w:szCs w:val="22"/>
          <w:highlight w:val="none"/>
        </w:rPr>
        <w:t>日  期：</w:t>
      </w:r>
      <w:bookmarkStart w:id="195" w:name="_Toc472086518"/>
    </w:p>
    <w:p>
      <w:pPr>
        <w:pStyle w:val="13"/>
        <w:spacing w:line="460" w:lineRule="exact"/>
        <w:ind w:left="431" w:hanging="431" w:hangingChars="196"/>
        <w:outlineLvl w:val="1"/>
        <w:rPr>
          <w:rFonts w:ascii="宋体" w:hAnsi="宋体" w:cs="宋体"/>
          <w:b/>
          <w:color w:val="auto"/>
          <w:sz w:val="22"/>
          <w:highlight w:val="none"/>
        </w:rPr>
      </w:pPr>
      <w:r>
        <w:rPr>
          <w:rFonts w:hint="eastAsia" w:ascii="宋体" w:hAnsi="宋体" w:cs="宋体"/>
          <w:bCs/>
          <w:color w:val="auto"/>
          <w:sz w:val="22"/>
          <w:szCs w:val="22"/>
          <w:highlight w:val="none"/>
        </w:rPr>
        <w:br w:type="page"/>
      </w:r>
      <w:r>
        <w:rPr>
          <w:rFonts w:hint="eastAsia" w:ascii="宋体" w:hAnsi="宋体" w:cs="宋体"/>
          <w:b/>
          <w:color w:val="auto"/>
          <w:szCs w:val="28"/>
          <w:highlight w:val="none"/>
        </w:rPr>
        <w:t>附件</w:t>
      </w:r>
      <w:bookmarkEnd w:id="195"/>
      <w:r>
        <w:rPr>
          <w:rFonts w:hint="eastAsia" w:ascii="宋体" w:hAnsi="宋体" w:cs="宋体"/>
          <w:b/>
          <w:color w:val="auto"/>
          <w:szCs w:val="28"/>
          <w:highlight w:val="none"/>
        </w:rPr>
        <w:t>二  技术规格、商务条款偏离表</w:t>
      </w:r>
    </w:p>
    <w:p>
      <w:pPr>
        <w:spacing w:line="460" w:lineRule="exact"/>
        <w:jc w:val="center"/>
        <w:rPr>
          <w:rFonts w:ascii="宋体" w:hAnsi="宋体" w:cs="宋体"/>
          <w:b/>
          <w:color w:val="auto"/>
          <w:sz w:val="28"/>
          <w:highlight w:val="none"/>
        </w:rPr>
      </w:pPr>
      <w:r>
        <w:rPr>
          <w:rFonts w:hint="eastAsia" w:ascii="宋体" w:hAnsi="宋体" w:cs="宋体"/>
          <w:b/>
          <w:color w:val="auto"/>
          <w:sz w:val="28"/>
          <w:highlight w:val="none"/>
        </w:rPr>
        <w:t>技术规格、商务条款偏离表</w:t>
      </w:r>
    </w:p>
    <w:p>
      <w:pPr>
        <w:spacing w:line="460" w:lineRule="exact"/>
        <w:jc w:val="center"/>
        <w:rPr>
          <w:rFonts w:ascii="宋体" w:hAnsi="宋体" w:cs="宋体"/>
          <w:b/>
          <w:color w:val="auto"/>
          <w:sz w:val="28"/>
          <w:highlight w:val="none"/>
        </w:rPr>
      </w:pPr>
    </w:p>
    <w:p>
      <w:pPr>
        <w:spacing w:line="380" w:lineRule="exact"/>
        <w:ind w:firstLine="221" w:firstLineChars="100"/>
        <w:rPr>
          <w:rFonts w:ascii="宋体" w:hAnsi="宋体" w:cs="宋体"/>
          <w:b/>
          <w:color w:val="auto"/>
          <w:sz w:val="22"/>
          <w:highlight w:val="none"/>
        </w:rPr>
      </w:pPr>
      <w:r>
        <w:rPr>
          <w:rFonts w:hint="eastAsia" w:ascii="宋体" w:hAnsi="宋体" w:cs="宋体"/>
          <w:b/>
          <w:color w:val="auto"/>
          <w:sz w:val="22"/>
          <w:highlight w:val="none"/>
        </w:rPr>
        <w:t xml:space="preserve">项目名称：                                  项目编号：              </w:t>
      </w:r>
    </w:p>
    <w:tbl>
      <w:tblPr>
        <w:tblStyle w:val="27"/>
        <w:tblW w:w="92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753"/>
        <w:gridCol w:w="2100"/>
        <w:gridCol w:w="1995"/>
        <w:gridCol w:w="1869"/>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794" w:type="dxa"/>
          </w:tcPr>
          <w:p>
            <w:pPr>
              <w:spacing w:line="380" w:lineRule="exact"/>
              <w:jc w:val="center"/>
              <w:rPr>
                <w:rFonts w:ascii="宋体" w:hAnsi="宋体" w:cs="宋体"/>
                <w:color w:val="auto"/>
                <w:sz w:val="22"/>
                <w:highlight w:val="none"/>
              </w:rPr>
            </w:pPr>
          </w:p>
        </w:tc>
        <w:tc>
          <w:tcPr>
            <w:tcW w:w="753" w:type="dxa"/>
            <w:vAlign w:val="center"/>
          </w:tcPr>
          <w:p>
            <w:pPr>
              <w:spacing w:line="380" w:lineRule="exact"/>
              <w:jc w:val="center"/>
              <w:rPr>
                <w:rFonts w:ascii="宋体" w:hAnsi="宋体" w:cs="宋体"/>
                <w:color w:val="auto"/>
                <w:sz w:val="22"/>
                <w:highlight w:val="none"/>
              </w:rPr>
            </w:pPr>
            <w:r>
              <w:rPr>
                <w:rFonts w:hint="eastAsia" w:ascii="宋体" w:hAnsi="宋体" w:cs="宋体"/>
                <w:color w:val="auto"/>
                <w:sz w:val="22"/>
                <w:highlight w:val="none"/>
              </w:rPr>
              <w:t>序号</w:t>
            </w:r>
          </w:p>
        </w:tc>
        <w:tc>
          <w:tcPr>
            <w:tcW w:w="2100" w:type="dxa"/>
            <w:vAlign w:val="center"/>
          </w:tcPr>
          <w:p>
            <w:pPr>
              <w:spacing w:line="380" w:lineRule="exact"/>
              <w:jc w:val="center"/>
              <w:rPr>
                <w:rFonts w:ascii="宋体" w:hAnsi="宋体" w:cs="宋体"/>
                <w:color w:val="auto"/>
                <w:sz w:val="22"/>
                <w:highlight w:val="none"/>
              </w:rPr>
            </w:pPr>
            <w:r>
              <w:rPr>
                <w:rFonts w:hint="eastAsia" w:ascii="宋体" w:hAnsi="宋体" w:cs="宋体"/>
                <w:color w:val="auto"/>
                <w:sz w:val="22"/>
                <w:highlight w:val="none"/>
              </w:rPr>
              <w:t>采购文件</w:t>
            </w:r>
          </w:p>
          <w:p>
            <w:pPr>
              <w:spacing w:line="380" w:lineRule="exact"/>
              <w:jc w:val="center"/>
              <w:rPr>
                <w:rFonts w:ascii="宋体" w:hAnsi="宋体" w:cs="宋体"/>
                <w:color w:val="auto"/>
                <w:sz w:val="22"/>
                <w:highlight w:val="none"/>
              </w:rPr>
            </w:pPr>
            <w:r>
              <w:rPr>
                <w:rFonts w:hint="eastAsia" w:ascii="宋体" w:hAnsi="宋体" w:cs="宋体"/>
                <w:color w:val="auto"/>
                <w:sz w:val="22"/>
                <w:highlight w:val="none"/>
              </w:rPr>
              <w:t>条目号</w:t>
            </w:r>
          </w:p>
        </w:tc>
        <w:tc>
          <w:tcPr>
            <w:tcW w:w="1995" w:type="dxa"/>
            <w:vAlign w:val="center"/>
          </w:tcPr>
          <w:p>
            <w:pPr>
              <w:spacing w:line="380" w:lineRule="exact"/>
              <w:jc w:val="center"/>
              <w:rPr>
                <w:rFonts w:ascii="宋体" w:hAnsi="宋体" w:cs="宋体"/>
                <w:color w:val="auto"/>
                <w:sz w:val="22"/>
                <w:highlight w:val="none"/>
              </w:rPr>
            </w:pPr>
            <w:r>
              <w:rPr>
                <w:rFonts w:hint="eastAsia" w:ascii="宋体" w:hAnsi="宋体" w:cs="宋体"/>
                <w:color w:val="auto"/>
                <w:sz w:val="22"/>
                <w:highlight w:val="none"/>
              </w:rPr>
              <w:t>采购文件</w:t>
            </w:r>
          </w:p>
          <w:p>
            <w:pPr>
              <w:spacing w:line="380" w:lineRule="exact"/>
              <w:jc w:val="center"/>
              <w:rPr>
                <w:rFonts w:ascii="宋体" w:hAnsi="宋体" w:cs="宋体"/>
                <w:color w:val="auto"/>
                <w:sz w:val="22"/>
                <w:highlight w:val="none"/>
              </w:rPr>
            </w:pPr>
            <w:r>
              <w:rPr>
                <w:rFonts w:hint="eastAsia" w:ascii="宋体" w:hAnsi="宋体" w:cs="宋体"/>
                <w:color w:val="auto"/>
                <w:sz w:val="22"/>
                <w:highlight w:val="none"/>
              </w:rPr>
              <w:t>规范要求</w:t>
            </w:r>
          </w:p>
        </w:tc>
        <w:tc>
          <w:tcPr>
            <w:tcW w:w="1869" w:type="dxa"/>
            <w:vAlign w:val="center"/>
          </w:tcPr>
          <w:p>
            <w:pPr>
              <w:spacing w:line="380" w:lineRule="exact"/>
              <w:jc w:val="center"/>
              <w:rPr>
                <w:rFonts w:ascii="宋体" w:hAnsi="宋体" w:cs="宋体"/>
                <w:color w:val="auto"/>
                <w:sz w:val="22"/>
                <w:highlight w:val="none"/>
              </w:rPr>
            </w:pPr>
            <w:r>
              <w:rPr>
                <w:rFonts w:hint="eastAsia" w:ascii="宋体" w:hAnsi="宋体" w:cs="宋体"/>
                <w:color w:val="auto"/>
                <w:sz w:val="22"/>
                <w:highlight w:val="none"/>
              </w:rPr>
              <w:t>投标文件</w:t>
            </w:r>
          </w:p>
          <w:p>
            <w:pPr>
              <w:spacing w:line="380" w:lineRule="exact"/>
              <w:jc w:val="center"/>
              <w:rPr>
                <w:rFonts w:ascii="宋体" w:hAnsi="宋体" w:cs="宋体"/>
                <w:color w:val="auto"/>
                <w:sz w:val="22"/>
                <w:highlight w:val="none"/>
              </w:rPr>
            </w:pPr>
            <w:r>
              <w:rPr>
                <w:rFonts w:hint="eastAsia" w:ascii="宋体" w:hAnsi="宋体" w:cs="宋体"/>
                <w:color w:val="auto"/>
                <w:sz w:val="22"/>
                <w:highlight w:val="none"/>
              </w:rPr>
              <w:t>对应规范</w:t>
            </w:r>
          </w:p>
        </w:tc>
        <w:tc>
          <w:tcPr>
            <w:tcW w:w="1761" w:type="dxa"/>
            <w:vAlign w:val="center"/>
          </w:tcPr>
          <w:p>
            <w:pPr>
              <w:spacing w:line="380" w:lineRule="exact"/>
              <w:jc w:val="center"/>
              <w:rPr>
                <w:rFonts w:ascii="宋体" w:hAnsi="宋体" w:cs="宋体"/>
                <w:color w:val="auto"/>
                <w:sz w:val="22"/>
                <w:highlight w:val="none"/>
              </w:rPr>
            </w:pPr>
            <w:r>
              <w:rPr>
                <w:rFonts w:hint="eastAsia" w:ascii="宋体" w:hAnsi="宋体" w:cs="宋体"/>
                <w:color w:val="auto"/>
                <w:sz w:val="22"/>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794" w:type="dxa"/>
            <w:vMerge w:val="restart"/>
            <w:vAlign w:val="center"/>
          </w:tcPr>
          <w:p>
            <w:pPr>
              <w:spacing w:line="380" w:lineRule="exact"/>
              <w:jc w:val="center"/>
              <w:rPr>
                <w:rFonts w:ascii="宋体" w:hAnsi="宋体" w:cs="宋体"/>
                <w:color w:val="auto"/>
                <w:sz w:val="22"/>
                <w:highlight w:val="none"/>
              </w:rPr>
            </w:pPr>
            <w:r>
              <w:rPr>
                <w:rFonts w:hint="eastAsia" w:ascii="宋体" w:hAnsi="宋体" w:cs="宋体"/>
                <w:color w:val="auto"/>
                <w:sz w:val="22"/>
                <w:highlight w:val="none"/>
              </w:rPr>
              <w:t>技</w:t>
            </w:r>
          </w:p>
          <w:p>
            <w:pPr>
              <w:spacing w:line="380" w:lineRule="exact"/>
              <w:jc w:val="center"/>
              <w:rPr>
                <w:rFonts w:ascii="宋体" w:hAnsi="宋体" w:cs="宋体"/>
                <w:color w:val="auto"/>
                <w:sz w:val="22"/>
                <w:highlight w:val="none"/>
              </w:rPr>
            </w:pPr>
            <w:r>
              <w:rPr>
                <w:rFonts w:hint="eastAsia" w:ascii="宋体" w:hAnsi="宋体" w:cs="宋体"/>
                <w:color w:val="auto"/>
                <w:sz w:val="22"/>
                <w:highlight w:val="none"/>
              </w:rPr>
              <w:t>术</w:t>
            </w:r>
          </w:p>
          <w:p>
            <w:pPr>
              <w:spacing w:line="380" w:lineRule="exact"/>
              <w:jc w:val="center"/>
              <w:rPr>
                <w:rFonts w:ascii="宋体" w:hAnsi="宋体" w:cs="宋体"/>
                <w:color w:val="auto"/>
                <w:sz w:val="22"/>
                <w:highlight w:val="none"/>
              </w:rPr>
            </w:pPr>
            <w:r>
              <w:rPr>
                <w:rFonts w:hint="eastAsia" w:ascii="宋体" w:hAnsi="宋体" w:cs="宋体"/>
                <w:color w:val="auto"/>
                <w:sz w:val="22"/>
                <w:highlight w:val="none"/>
              </w:rPr>
              <w:t>规</w:t>
            </w:r>
          </w:p>
          <w:p>
            <w:pPr>
              <w:spacing w:line="380" w:lineRule="exact"/>
              <w:jc w:val="center"/>
              <w:rPr>
                <w:rFonts w:ascii="宋体" w:hAnsi="宋体" w:cs="宋体"/>
                <w:color w:val="auto"/>
                <w:sz w:val="22"/>
                <w:highlight w:val="none"/>
              </w:rPr>
            </w:pPr>
            <w:r>
              <w:rPr>
                <w:rFonts w:hint="eastAsia" w:ascii="宋体" w:hAnsi="宋体" w:cs="宋体"/>
                <w:color w:val="auto"/>
                <w:sz w:val="22"/>
                <w:highlight w:val="none"/>
              </w:rPr>
              <w:t>格</w:t>
            </w:r>
          </w:p>
        </w:tc>
        <w:tc>
          <w:tcPr>
            <w:tcW w:w="753" w:type="dxa"/>
            <w:vAlign w:val="center"/>
          </w:tcPr>
          <w:p>
            <w:pPr>
              <w:spacing w:line="380" w:lineRule="exact"/>
              <w:ind w:firstLine="440" w:firstLineChars="200"/>
              <w:jc w:val="center"/>
              <w:rPr>
                <w:rFonts w:ascii="宋体" w:hAnsi="宋体" w:cs="宋体"/>
                <w:color w:val="auto"/>
                <w:sz w:val="22"/>
                <w:highlight w:val="none"/>
              </w:rPr>
            </w:pPr>
          </w:p>
          <w:p>
            <w:pPr>
              <w:spacing w:line="380" w:lineRule="exact"/>
              <w:ind w:firstLine="220" w:firstLineChars="100"/>
              <w:rPr>
                <w:rFonts w:ascii="宋体" w:hAnsi="宋体" w:cs="宋体"/>
                <w:color w:val="auto"/>
                <w:sz w:val="22"/>
                <w:highlight w:val="none"/>
              </w:rPr>
            </w:pPr>
          </w:p>
        </w:tc>
        <w:tc>
          <w:tcPr>
            <w:tcW w:w="2100" w:type="dxa"/>
            <w:vAlign w:val="center"/>
          </w:tcPr>
          <w:p>
            <w:pPr>
              <w:spacing w:line="380" w:lineRule="exact"/>
              <w:jc w:val="center"/>
              <w:rPr>
                <w:rFonts w:ascii="宋体" w:hAnsi="宋体" w:cs="宋体"/>
                <w:color w:val="auto"/>
                <w:sz w:val="22"/>
                <w:highlight w:val="none"/>
              </w:rPr>
            </w:pPr>
          </w:p>
        </w:tc>
        <w:tc>
          <w:tcPr>
            <w:tcW w:w="1995" w:type="dxa"/>
            <w:vAlign w:val="center"/>
          </w:tcPr>
          <w:p>
            <w:pPr>
              <w:spacing w:line="380" w:lineRule="exact"/>
              <w:jc w:val="center"/>
              <w:rPr>
                <w:rFonts w:ascii="宋体" w:hAnsi="宋体" w:cs="宋体"/>
                <w:color w:val="auto"/>
                <w:sz w:val="22"/>
                <w:highlight w:val="none"/>
              </w:rPr>
            </w:pPr>
          </w:p>
        </w:tc>
        <w:tc>
          <w:tcPr>
            <w:tcW w:w="1869" w:type="dxa"/>
            <w:vAlign w:val="center"/>
          </w:tcPr>
          <w:p>
            <w:pPr>
              <w:spacing w:line="380" w:lineRule="exact"/>
              <w:jc w:val="center"/>
              <w:rPr>
                <w:rFonts w:ascii="宋体" w:hAnsi="宋体" w:cs="宋体"/>
                <w:color w:val="auto"/>
                <w:sz w:val="22"/>
                <w:highlight w:val="none"/>
              </w:rPr>
            </w:pPr>
          </w:p>
        </w:tc>
        <w:tc>
          <w:tcPr>
            <w:tcW w:w="1761" w:type="dxa"/>
            <w:vAlign w:val="center"/>
          </w:tcPr>
          <w:p>
            <w:pPr>
              <w:spacing w:line="38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794" w:type="dxa"/>
            <w:vMerge w:val="continue"/>
          </w:tcPr>
          <w:p>
            <w:pPr>
              <w:spacing w:line="380" w:lineRule="exact"/>
              <w:ind w:firstLine="220" w:firstLineChars="100"/>
              <w:rPr>
                <w:rFonts w:ascii="宋体" w:hAnsi="宋体" w:cs="宋体"/>
                <w:color w:val="auto"/>
                <w:sz w:val="22"/>
                <w:highlight w:val="none"/>
              </w:rPr>
            </w:pPr>
          </w:p>
        </w:tc>
        <w:tc>
          <w:tcPr>
            <w:tcW w:w="753" w:type="dxa"/>
            <w:vAlign w:val="center"/>
          </w:tcPr>
          <w:p>
            <w:pPr>
              <w:spacing w:line="380" w:lineRule="exact"/>
              <w:ind w:firstLine="220" w:firstLineChars="100"/>
              <w:rPr>
                <w:rFonts w:ascii="宋体" w:hAnsi="宋体" w:cs="宋体"/>
                <w:color w:val="auto"/>
                <w:sz w:val="22"/>
                <w:highlight w:val="none"/>
              </w:rPr>
            </w:pPr>
          </w:p>
        </w:tc>
        <w:tc>
          <w:tcPr>
            <w:tcW w:w="2100" w:type="dxa"/>
            <w:vAlign w:val="center"/>
          </w:tcPr>
          <w:p>
            <w:pPr>
              <w:spacing w:line="380" w:lineRule="exact"/>
              <w:jc w:val="center"/>
              <w:rPr>
                <w:rFonts w:ascii="宋体" w:hAnsi="宋体" w:cs="宋体"/>
                <w:color w:val="auto"/>
                <w:sz w:val="22"/>
                <w:highlight w:val="none"/>
              </w:rPr>
            </w:pPr>
          </w:p>
        </w:tc>
        <w:tc>
          <w:tcPr>
            <w:tcW w:w="1995" w:type="dxa"/>
            <w:vAlign w:val="center"/>
          </w:tcPr>
          <w:p>
            <w:pPr>
              <w:spacing w:line="380" w:lineRule="exact"/>
              <w:jc w:val="center"/>
              <w:rPr>
                <w:rFonts w:ascii="宋体" w:hAnsi="宋体" w:cs="宋体"/>
                <w:color w:val="auto"/>
                <w:sz w:val="22"/>
                <w:highlight w:val="none"/>
              </w:rPr>
            </w:pPr>
          </w:p>
        </w:tc>
        <w:tc>
          <w:tcPr>
            <w:tcW w:w="1869" w:type="dxa"/>
            <w:vAlign w:val="center"/>
          </w:tcPr>
          <w:p>
            <w:pPr>
              <w:spacing w:line="380" w:lineRule="exact"/>
              <w:jc w:val="center"/>
              <w:rPr>
                <w:rFonts w:ascii="宋体" w:hAnsi="宋体" w:cs="宋体"/>
                <w:color w:val="auto"/>
                <w:sz w:val="22"/>
                <w:highlight w:val="none"/>
              </w:rPr>
            </w:pPr>
          </w:p>
        </w:tc>
        <w:tc>
          <w:tcPr>
            <w:tcW w:w="1761" w:type="dxa"/>
            <w:vAlign w:val="center"/>
          </w:tcPr>
          <w:p>
            <w:pPr>
              <w:spacing w:line="38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794" w:type="dxa"/>
            <w:vMerge w:val="continue"/>
          </w:tcPr>
          <w:p>
            <w:pPr>
              <w:spacing w:line="380" w:lineRule="exact"/>
              <w:jc w:val="center"/>
              <w:rPr>
                <w:rFonts w:ascii="宋体" w:hAnsi="宋体" w:cs="宋体"/>
                <w:color w:val="auto"/>
                <w:sz w:val="22"/>
                <w:highlight w:val="none"/>
              </w:rPr>
            </w:pPr>
          </w:p>
        </w:tc>
        <w:tc>
          <w:tcPr>
            <w:tcW w:w="753" w:type="dxa"/>
            <w:vAlign w:val="center"/>
          </w:tcPr>
          <w:p>
            <w:pPr>
              <w:spacing w:line="380" w:lineRule="exact"/>
              <w:jc w:val="center"/>
              <w:rPr>
                <w:rFonts w:ascii="宋体" w:hAnsi="宋体" w:cs="宋体"/>
                <w:color w:val="auto"/>
                <w:sz w:val="22"/>
                <w:highlight w:val="none"/>
              </w:rPr>
            </w:pPr>
          </w:p>
        </w:tc>
        <w:tc>
          <w:tcPr>
            <w:tcW w:w="2100" w:type="dxa"/>
            <w:vAlign w:val="center"/>
          </w:tcPr>
          <w:p>
            <w:pPr>
              <w:spacing w:line="380" w:lineRule="exact"/>
              <w:jc w:val="center"/>
              <w:rPr>
                <w:rFonts w:ascii="宋体" w:hAnsi="宋体" w:cs="宋体"/>
                <w:color w:val="auto"/>
                <w:sz w:val="22"/>
                <w:highlight w:val="none"/>
              </w:rPr>
            </w:pPr>
          </w:p>
        </w:tc>
        <w:tc>
          <w:tcPr>
            <w:tcW w:w="1995" w:type="dxa"/>
            <w:vAlign w:val="center"/>
          </w:tcPr>
          <w:p>
            <w:pPr>
              <w:spacing w:line="380" w:lineRule="exact"/>
              <w:jc w:val="center"/>
              <w:rPr>
                <w:rFonts w:ascii="宋体" w:hAnsi="宋体" w:cs="宋体"/>
                <w:color w:val="auto"/>
                <w:sz w:val="22"/>
                <w:highlight w:val="none"/>
              </w:rPr>
            </w:pPr>
          </w:p>
        </w:tc>
        <w:tc>
          <w:tcPr>
            <w:tcW w:w="1869" w:type="dxa"/>
            <w:vAlign w:val="center"/>
          </w:tcPr>
          <w:p>
            <w:pPr>
              <w:spacing w:line="380" w:lineRule="exact"/>
              <w:jc w:val="center"/>
              <w:rPr>
                <w:rFonts w:ascii="宋体" w:hAnsi="宋体" w:cs="宋体"/>
                <w:color w:val="auto"/>
                <w:sz w:val="22"/>
                <w:highlight w:val="none"/>
              </w:rPr>
            </w:pPr>
          </w:p>
        </w:tc>
        <w:tc>
          <w:tcPr>
            <w:tcW w:w="1761" w:type="dxa"/>
            <w:vAlign w:val="center"/>
          </w:tcPr>
          <w:p>
            <w:pPr>
              <w:spacing w:line="38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794" w:type="dxa"/>
            <w:vMerge w:val="continue"/>
          </w:tcPr>
          <w:p>
            <w:pPr>
              <w:spacing w:line="380" w:lineRule="exact"/>
              <w:jc w:val="center"/>
              <w:rPr>
                <w:rFonts w:ascii="宋体" w:hAnsi="宋体" w:cs="宋体"/>
                <w:color w:val="auto"/>
                <w:sz w:val="22"/>
                <w:highlight w:val="none"/>
              </w:rPr>
            </w:pPr>
          </w:p>
        </w:tc>
        <w:tc>
          <w:tcPr>
            <w:tcW w:w="753" w:type="dxa"/>
            <w:vAlign w:val="center"/>
          </w:tcPr>
          <w:p>
            <w:pPr>
              <w:spacing w:line="380" w:lineRule="exact"/>
              <w:jc w:val="center"/>
              <w:rPr>
                <w:rFonts w:ascii="宋体" w:hAnsi="宋体" w:cs="宋体"/>
                <w:color w:val="auto"/>
                <w:sz w:val="22"/>
                <w:highlight w:val="none"/>
              </w:rPr>
            </w:pPr>
          </w:p>
        </w:tc>
        <w:tc>
          <w:tcPr>
            <w:tcW w:w="2100" w:type="dxa"/>
            <w:vAlign w:val="center"/>
          </w:tcPr>
          <w:p>
            <w:pPr>
              <w:spacing w:line="380" w:lineRule="exact"/>
              <w:jc w:val="center"/>
              <w:rPr>
                <w:rFonts w:ascii="宋体" w:hAnsi="宋体" w:cs="宋体"/>
                <w:color w:val="auto"/>
                <w:sz w:val="22"/>
                <w:highlight w:val="none"/>
              </w:rPr>
            </w:pPr>
          </w:p>
        </w:tc>
        <w:tc>
          <w:tcPr>
            <w:tcW w:w="1995" w:type="dxa"/>
            <w:vAlign w:val="center"/>
          </w:tcPr>
          <w:p>
            <w:pPr>
              <w:spacing w:line="380" w:lineRule="exact"/>
              <w:jc w:val="center"/>
              <w:rPr>
                <w:rFonts w:ascii="宋体" w:hAnsi="宋体" w:cs="宋体"/>
                <w:color w:val="auto"/>
                <w:sz w:val="22"/>
                <w:highlight w:val="none"/>
              </w:rPr>
            </w:pPr>
          </w:p>
        </w:tc>
        <w:tc>
          <w:tcPr>
            <w:tcW w:w="1869" w:type="dxa"/>
            <w:vAlign w:val="center"/>
          </w:tcPr>
          <w:p>
            <w:pPr>
              <w:spacing w:line="380" w:lineRule="exact"/>
              <w:jc w:val="center"/>
              <w:rPr>
                <w:rFonts w:ascii="宋体" w:hAnsi="宋体" w:cs="宋体"/>
                <w:color w:val="auto"/>
                <w:sz w:val="22"/>
                <w:highlight w:val="none"/>
              </w:rPr>
            </w:pPr>
          </w:p>
        </w:tc>
        <w:tc>
          <w:tcPr>
            <w:tcW w:w="1761" w:type="dxa"/>
            <w:vAlign w:val="center"/>
          </w:tcPr>
          <w:p>
            <w:pPr>
              <w:spacing w:line="38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794" w:type="dxa"/>
            <w:vMerge w:val="continue"/>
          </w:tcPr>
          <w:p>
            <w:pPr>
              <w:spacing w:line="380" w:lineRule="exact"/>
              <w:jc w:val="center"/>
              <w:rPr>
                <w:rFonts w:ascii="宋体" w:hAnsi="宋体" w:cs="宋体"/>
                <w:color w:val="auto"/>
                <w:sz w:val="22"/>
                <w:highlight w:val="none"/>
              </w:rPr>
            </w:pPr>
          </w:p>
        </w:tc>
        <w:tc>
          <w:tcPr>
            <w:tcW w:w="753" w:type="dxa"/>
            <w:vAlign w:val="center"/>
          </w:tcPr>
          <w:p>
            <w:pPr>
              <w:spacing w:line="380" w:lineRule="exact"/>
              <w:jc w:val="center"/>
              <w:rPr>
                <w:rFonts w:ascii="宋体" w:hAnsi="宋体" w:cs="宋体"/>
                <w:color w:val="auto"/>
                <w:sz w:val="22"/>
                <w:highlight w:val="none"/>
              </w:rPr>
            </w:pPr>
          </w:p>
        </w:tc>
        <w:tc>
          <w:tcPr>
            <w:tcW w:w="2100" w:type="dxa"/>
            <w:vAlign w:val="center"/>
          </w:tcPr>
          <w:p>
            <w:pPr>
              <w:spacing w:line="380" w:lineRule="exact"/>
              <w:jc w:val="center"/>
              <w:rPr>
                <w:rFonts w:ascii="宋体" w:hAnsi="宋体" w:cs="宋体"/>
                <w:color w:val="auto"/>
                <w:sz w:val="22"/>
                <w:highlight w:val="none"/>
              </w:rPr>
            </w:pPr>
          </w:p>
        </w:tc>
        <w:tc>
          <w:tcPr>
            <w:tcW w:w="1995" w:type="dxa"/>
            <w:vAlign w:val="center"/>
          </w:tcPr>
          <w:p>
            <w:pPr>
              <w:spacing w:line="380" w:lineRule="exact"/>
              <w:jc w:val="center"/>
              <w:rPr>
                <w:rFonts w:ascii="宋体" w:hAnsi="宋体" w:cs="宋体"/>
                <w:color w:val="auto"/>
                <w:sz w:val="22"/>
                <w:highlight w:val="none"/>
              </w:rPr>
            </w:pPr>
          </w:p>
        </w:tc>
        <w:tc>
          <w:tcPr>
            <w:tcW w:w="1869" w:type="dxa"/>
            <w:vAlign w:val="center"/>
          </w:tcPr>
          <w:p>
            <w:pPr>
              <w:spacing w:line="380" w:lineRule="exact"/>
              <w:jc w:val="center"/>
              <w:rPr>
                <w:rFonts w:ascii="宋体" w:hAnsi="宋体" w:cs="宋体"/>
                <w:color w:val="auto"/>
                <w:sz w:val="22"/>
                <w:highlight w:val="none"/>
              </w:rPr>
            </w:pPr>
          </w:p>
        </w:tc>
        <w:tc>
          <w:tcPr>
            <w:tcW w:w="1761" w:type="dxa"/>
            <w:vAlign w:val="center"/>
          </w:tcPr>
          <w:p>
            <w:pPr>
              <w:spacing w:line="38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794" w:type="dxa"/>
            <w:vMerge w:val="restart"/>
            <w:vAlign w:val="center"/>
          </w:tcPr>
          <w:p>
            <w:pPr>
              <w:spacing w:line="380" w:lineRule="exact"/>
              <w:jc w:val="center"/>
              <w:rPr>
                <w:rFonts w:ascii="宋体" w:hAnsi="宋体" w:cs="宋体"/>
                <w:color w:val="auto"/>
                <w:sz w:val="22"/>
                <w:highlight w:val="none"/>
              </w:rPr>
            </w:pPr>
            <w:r>
              <w:rPr>
                <w:rFonts w:hint="eastAsia" w:ascii="宋体" w:hAnsi="宋体" w:cs="宋体"/>
                <w:color w:val="auto"/>
                <w:sz w:val="22"/>
                <w:highlight w:val="none"/>
              </w:rPr>
              <w:t>商</w:t>
            </w:r>
          </w:p>
          <w:p>
            <w:pPr>
              <w:spacing w:line="380" w:lineRule="exact"/>
              <w:jc w:val="center"/>
              <w:rPr>
                <w:rFonts w:ascii="宋体" w:hAnsi="宋体" w:cs="宋体"/>
                <w:color w:val="auto"/>
                <w:sz w:val="22"/>
                <w:highlight w:val="none"/>
              </w:rPr>
            </w:pPr>
            <w:r>
              <w:rPr>
                <w:rFonts w:hint="eastAsia" w:ascii="宋体" w:hAnsi="宋体" w:cs="宋体"/>
                <w:color w:val="auto"/>
                <w:sz w:val="22"/>
                <w:highlight w:val="none"/>
              </w:rPr>
              <w:t>务</w:t>
            </w:r>
          </w:p>
          <w:p>
            <w:pPr>
              <w:spacing w:line="380" w:lineRule="exact"/>
              <w:jc w:val="center"/>
              <w:rPr>
                <w:rFonts w:ascii="宋体" w:hAnsi="宋体" w:cs="宋体"/>
                <w:color w:val="auto"/>
                <w:sz w:val="22"/>
                <w:highlight w:val="none"/>
              </w:rPr>
            </w:pPr>
            <w:r>
              <w:rPr>
                <w:rFonts w:hint="eastAsia" w:ascii="宋体" w:hAnsi="宋体" w:cs="宋体"/>
                <w:color w:val="auto"/>
                <w:sz w:val="22"/>
                <w:highlight w:val="none"/>
              </w:rPr>
              <w:t>条</w:t>
            </w:r>
          </w:p>
          <w:p>
            <w:pPr>
              <w:spacing w:line="380" w:lineRule="exact"/>
              <w:jc w:val="center"/>
              <w:rPr>
                <w:rFonts w:ascii="宋体" w:hAnsi="宋体" w:cs="宋体"/>
                <w:color w:val="auto"/>
                <w:sz w:val="22"/>
                <w:highlight w:val="none"/>
              </w:rPr>
            </w:pPr>
            <w:r>
              <w:rPr>
                <w:rFonts w:hint="eastAsia" w:ascii="宋体" w:hAnsi="宋体" w:cs="宋体"/>
                <w:color w:val="auto"/>
                <w:sz w:val="22"/>
                <w:highlight w:val="none"/>
              </w:rPr>
              <w:t>款</w:t>
            </w:r>
          </w:p>
        </w:tc>
        <w:tc>
          <w:tcPr>
            <w:tcW w:w="753" w:type="dxa"/>
            <w:vAlign w:val="center"/>
          </w:tcPr>
          <w:p>
            <w:pPr>
              <w:spacing w:line="380" w:lineRule="exact"/>
              <w:jc w:val="center"/>
              <w:rPr>
                <w:rFonts w:ascii="宋体" w:hAnsi="宋体" w:cs="宋体"/>
                <w:color w:val="auto"/>
                <w:sz w:val="22"/>
                <w:highlight w:val="none"/>
              </w:rPr>
            </w:pPr>
          </w:p>
          <w:p>
            <w:pPr>
              <w:spacing w:line="380" w:lineRule="exact"/>
              <w:jc w:val="center"/>
              <w:rPr>
                <w:rFonts w:ascii="宋体" w:hAnsi="宋体" w:cs="宋体"/>
                <w:color w:val="auto"/>
                <w:sz w:val="22"/>
                <w:highlight w:val="none"/>
              </w:rPr>
            </w:pPr>
          </w:p>
        </w:tc>
        <w:tc>
          <w:tcPr>
            <w:tcW w:w="2100" w:type="dxa"/>
            <w:vAlign w:val="center"/>
          </w:tcPr>
          <w:p>
            <w:pPr>
              <w:spacing w:line="380" w:lineRule="exact"/>
              <w:jc w:val="center"/>
              <w:rPr>
                <w:rFonts w:ascii="宋体" w:hAnsi="宋体" w:cs="宋体"/>
                <w:color w:val="auto"/>
                <w:sz w:val="22"/>
                <w:highlight w:val="none"/>
              </w:rPr>
            </w:pPr>
          </w:p>
        </w:tc>
        <w:tc>
          <w:tcPr>
            <w:tcW w:w="1995" w:type="dxa"/>
            <w:vAlign w:val="center"/>
          </w:tcPr>
          <w:p>
            <w:pPr>
              <w:spacing w:line="380" w:lineRule="exact"/>
              <w:jc w:val="center"/>
              <w:rPr>
                <w:rFonts w:ascii="宋体" w:hAnsi="宋体" w:cs="宋体"/>
                <w:color w:val="auto"/>
                <w:sz w:val="22"/>
                <w:highlight w:val="none"/>
              </w:rPr>
            </w:pPr>
          </w:p>
        </w:tc>
        <w:tc>
          <w:tcPr>
            <w:tcW w:w="1869" w:type="dxa"/>
            <w:vAlign w:val="center"/>
          </w:tcPr>
          <w:p>
            <w:pPr>
              <w:spacing w:line="380" w:lineRule="exact"/>
              <w:jc w:val="center"/>
              <w:rPr>
                <w:rFonts w:ascii="宋体" w:hAnsi="宋体" w:cs="宋体"/>
                <w:color w:val="auto"/>
                <w:sz w:val="22"/>
                <w:highlight w:val="none"/>
              </w:rPr>
            </w:pPr>
          </w:p>
        </w:tc>
        <w:tc>
          <w:tcPr>
            <w:tcW w:w="1761" w:type="dxa"/>
            <w:vAlign w:val="center"/>
          </w:tcPr>
          <w:p>
            <w:pPr>
              <w:spacing w:line="38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794" w:type="dxa"/>
            <w:vMerge w:val="continue"/>
          </w:tcPr>
          <w:p>
            <w:pPr>
              <w:spacing w:line="380" w:lineRule="exact"/>
              <w:jc w:val="center"/>
              <w:rPr>
                <w:rFonts w:ascii="宋体" w:hAnsi="宋体" w:cs="宋体"/>
                <w:color w:val="auto"/>
                <w:sz w:val="22"/>
                <w:highlight w:val="none"/>
              </w:rPr>
            </w:pPr>
          </w:p>
        </w:tc>
        <w:tc>
          <w:tcPr>
            <w:tcW w:w="753" w:type="dxa"/>
            <w:vAlign w:val="center"/>
          </w:tcPr>
          <w:p>
            <w:pPr>
              <w:spacing w:line="380" w:lineRule="exact"/>
              <w:jc w:val="center"/>
              <w:rPr>
                <w:rFonts w:ascii="宋体" w:hAnsi="宋体" w:cs="宋体"/>
                <w:color w:val="auto"/>
                <w:sz w:val="22"/>
                <w:highlight w:val="none"/>
              </w:rPr>
            </w:pPr>
          </w:p>
        </w:tc>
        <w:tc>
          <w:tcPr>
            <w:tcW w:w="2100" w:type="dxa"/>
            <w:vAlign w:val="center"/>
          </w:tcPr>
          <w:p>
            <w:pPr>
              <w:spacing w:line="380" w:lineRule="exact"/>
              <w:jc w:val="center"/>
              <w:rPr>
                <w:rFonts w:ascii="宋体" w:hAnsi="宋体" w:cs="宋体"/>
                <w:color w:val="auto"/>
                <w:sz w:val="22"/>
                <w:highlight w:val="none"/>
              </w:rPr>
            </w:pPr>
          </w:p>
        </w:tc>
        <w:tc>
          <w:tcPr>
            <w:tcW w:w="1995" w:type="dxa"/>
            <w:vAlign w:val="center"/>
          </w:tcPr>
          <w:p>
            <w:pPr>
              <w:spacing w:line="380" w:lineRule="exact"/>
              <w:jc w:val="center"/>
              <w:rPr>
                <w:rFonts w:ascii="宋体" w:hAnsi="宋体" w:cs="宋体"/>
                <w:color w:val="auto"/>
                <w:sz w:val="22"/>
                <w:highlight w:val="none"/>
              </w:rPr>
            </w:pPr>
          </w:p>
        </w:tc>
        <w:tc>
          <w:tcPr>
            <w:tcW w:w="1869" w:type="dxa"/>
            <w:vAlign w:val="center"/>
          </w:tcPr>
          <w:p>
            <w:pPr>
              <w:spacing w:line="380" w:lineRule="exact"/>
              <w:jc w:val="center"/>
              <w:rPr>
                <w:rFonts w:ascii="宋体" w:hAnsi="宋体" w:cs="宋体"/>
                <w:color w:val="auto"/>
                <w:sz w:val="22"/>
                <w:highlight w:val="none"/>
              </w:rPr>
            </w:pPr>
          </w:p>
        </w:tc>
        <w:tc>
          <w:tcPr>
            <w:tcW w:w="1761" w:type="dxa"/>
            <w:vAlign w:val="center"/>
          </w:tcPr>
          <w:p>
            <w:pPr>
              <w:spacing w:line="38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794" w:type="dxa"/>
            <w:vMerge w:val="continue"/>
          </w:tcPr>
          <w:p>
            <w:pPr>
              <w:spacing w:line="380" w:lineRule="exact"/>
              <w:jc w:val="center"/>
              <w:rPr>
                <w:rFonts w:ascii="宋体" w:hAnsi="宋体" w:cs="宋体"/>
                <w:color w:val="auto"/>
                <w:sz w:val="22"/>
                <w:highlight w:val="none"/>
              </w:rPr>
            </w:pPr>
          </w:p>
        </w:tc>
        <w:tc>
          <w:tcPr>
            <w:tcW w:w="753" w:type="dxa"/>
            <w:vAlign w:val="center"/>
          </w:tcPr>
          <w:p>
            <w:pPr>
              <w:spacing w:line="380" w:lineRule="exact"/>
              <w:jc w:val="center"/>
              <w:rPr>
                <w:rFonts w:ascii="宋体" w:hAnsi="宋体" w:cs="宋体"/>
                <w:color w:val="auto"/>
                <w:sz w:val="22"/>
                <w:highlight w:val="none"/>
              </w:rPr>
            </w:pPr>
          </w:p>
        </w:tc>
        <w:tc>
          <w:tcPr>
            <w:tcW w:w="2100" w:type="dxa"/>
            <w:vAlign w:val="center"/>
          </w:tcPr>
          <w:p>
            <w:pPr>
              <w:spacing w:line="380" w:lineRule="exact"/>
              <w:jc w:val="center"/>
              <w:rPr>
                <w:rFonts w:ascii="宋体" w:hAnsi="宋体" w:cs="宋体"/>
                <w:color w:val="auto"/>
                <w:sz w:val="22"/>
                <w:highlight w:val="none"/>
              </w:rPr>
            </w:pPr>
          </w:p>
        </w:tc>
        <w:tc>
          <w:tcPr>
            <w:tcW w:w="1995" w:type="dxa"/>
            <w:vAlign w:val="center"/>
          </w:tcPr>
          <w:p>
            <w:pPr>
              <w:spacing w:line="380" w:lineRule="exact"/>
              <w:jc w:val="center"/>
              <w:rPr>
                <w:rFonts w:ascii="宋体" w:hAnsi="宋体" w:cs="宋体"/>
                <w:color w:val="auto"/>
                <w:sz w:val="22"/>
                <w:highlight w:val="none"/>
              </w:rPr>
            </w:pPr>
          </w:p>
        </w:tc>
        <w:tc>
          <w:tcPr>
            <w:tcW w:w="1869" w:type="dxa"/>
            <w:vAlign w:val="center"/>
          </w:tcPr>
          <w:p>
            <w:pPr>
              <w:spacing w:line="380" w:lineRule="exact"/>
              <w:jc w:val="center"/>
              <w:rPr>
                <w:rFonts w:ascii="宋体" w:hAnsi="宋体" w:cs="宋体"/>
                <w:color w:val="auto"/>
                <w:sz w:val="22"/>
                <w:highlight w:val="none"/>
              </w:rPr>
            </w:pPr>
          </w:p>
        </w:tc>
        <w:tc>
          <w:tcPr>
            <w:tcW w:w="1761" w:type="dxa"/>
            <w:vAlign w:val="center"/>
          </w:tcPr>
          <w:p>
            <w:pPr>
              <w:spacing w:line="38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794" w:type="dxa"/>
            <w:vMerge w:val="continue"/>
          </w:tcPr>
          <w:p>
            <w:pPr>
              <w:spacing w:line="380" w:lineRule="exact"/>
              <w:jc w:val="center"/>
              <w:rPr>
                <w:rFonts w:ascii="宋体" w:hAnsi="宋体" w:cs="宋体"/>
                <w:color w:val="auto"/>
                <w:sz w:val="22"/>
                <w:highlight w:val="none"/>
              </w:rPr>
            </w:pPr>
          </w:p>
        </w:tc>
        <w:tc>
          <w:tcPr>
            <w:tcW w:w="753" w:type="dxa"/>
            <w:vAlign w:val="center"/>
          </w:tcPr>
          <w:p>
            <w:pPr>
              <w:spacing w:line="380" w:lineRule="exact"/>
              <w:jc w:val="center"/>
              <w:rPr>
                <w:rFonts w:ascii="宋体" w:hAnsi="宋体" w:cs="宋体"/>
                <w:color w:val="auto"/>
                <w:sz w:val="22"/>
                <w:highlight w:val="none"/>
              </w:rPr>
            </w:pPr>
          </w:p>
        </w:tc>
        <w:tc>
          <w:tcPr>
            <w:tcW w:w="2100" w:type="dxa"/>
            <w:vAlign w:val="center"/>
          </w:tcPr>
          <w:p>
            <w:pPr>
              <w:spacing w:line="380" w:lineRule="exact"/>
              <w:jc w:val="center"/>
              <w:rPr>
                <w:rFonts w:ascii="宋体" w:hAnsi="宋体" w:cs="宋体"/>
                <w:color w:val="auto"/>
                <w:sz w:val="22"/>
                <w:highlight w:val="none"/>
              </w:rPr>
            </w:pPr>
          </w:p>
        </w:tc>
        <w:tc>
          <w:tcPr>
            <w:tcW w:w="1995" w:type="dxa"/>
            <w:vAlign w:val="center"/>
          </w:tcPr>
          <w:p>
            <w:pPr>
              <w:spacing w:line="380" w:lineRule="exact"/>
              <w:jc w:val="center"/>
              <w:rPr>
                <w:rFonts w:ascii="宋体" w:hAnsi="宋体" w:cs="宋体"/>
                <w:color w:val="auto"/>
                <w:sz w:val="22"/>
                <w:highlight w:val="none"/>
              </w:rPr>
            </w:pPr>
          </w:p>
        </w:tc>
        <w:tc>
          <w:tcPr>
            <w:tcW w:w="1869" w:type="dxa"/>
            <w:vAlign w:val="center"/>
          </w:tcPr>
          <w:p>
            <w:pPr>
              <w:spacing w:line="380" w:lineRule="exact"/>
              <w:jc w:val="center"/>
              <w:rPr>
                <w:rFonts w:ascii="宋体" w:hAnsi="宋体" w:cs="宋体"/>
                <w:color w:val="auto"/>
                <w:sz w:val="22"/>
                <w:highlight w:val="none"/>
              </w:rPr>
            </w:pPr>
          </w:p>
        </w:tc>
        <w:tc>
          <w:tcPr>
            <w:tcW w:w="1761" w:type="dxa"/>
            <w:vAlign w:val="center"/>
          </w:tcPr>
          <w:p>
            <w:pPr>
              <w:spacing w:line="38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794" w:type="dxa"/>
            <w:vMerge w:val="continue"/>
          </w:tcPr>
          <w:p>
            <w:pPr>
              <w:spacing w:line="380" w:lineRule="exact"/>
              <w:jc w:val="center"/>
              <w:rPr>
                <w:rFonts w:ascii="宋体" w:hAnsi="宋体" w:cs="宋体"/>
                <w:color w:val="auto"/>
                <w:sz w:val="22"/>
                <w:highlight w:val="none"/>
              </w:rPr>
            </w:pPr>
          </w:p>
        </w:tc>
        <w:tc>
          <w:tcPr>
            <w:tcW w:w="753" w:type="dxa"/>
            <w:vAlign w:val="center"/>
          </w:tcPr>
          <w:p>
            <w:pPr>
              <w:spacing w:line="380" w:lineRule="exact"/>
              <w:jc w:val="center"/>
              <w:rPr>
                <w:rFonts w:ascii="宋体" w:hAnsi="宋体" w:cs="宋体"/>
                <w:color w:val="auto"/>
                <w:sz w:val="22"/>
                <w:highlight w:val="none"/>
              </w:rPr>
            </w:pPr>
          </w:p>
        </w:tc>
        <w:tc>
          <w:tcPr>
            <w:tcW w:w="2100" w:type="dxa"/>
            <w:vAlign w:val="center"/>
          </w:tcPr>
          <w:p>
            <w:pPr>
              <w:spacing w:line="380" w:lineRule="exact"/>
              <w:jc w:val="center"/>
              <w:rPr>
                <w:rFonts w:ascii="宋体" w:hAnsi="宋体" w:cs="宋体"/>
                <w:color w:val="auto"/>
                <w:sz w:val="22"/>
                <w:highlight w:val="none"/>
              </w:rPr>
            </w:pPr>
          </w:p>
        </w:tc>
        <w:tc>
          <w:tcPr>
            <w:tcW w:w="1995" w:type="dxa"/>
            <w:vAlign w:val="center"/>
          </w:tcPr>
          <w:p>
            <w:pPr>
              <w:spacing w:line="380" w:lineRule="exact"/>
              <w:jc w:val="center"/>
              <w:rPr>
                <w:rFonts w:ascii="宋体" w:hAnsi="宋体" w:cs="宋体"/>
                <w:color w:val="auto"/>
                <w:sz w:val="22"/>
                <w:highlight w:val="none"/>
              </w:rPr>
            </w:pPr>
          </w:p>
        </w:tc>
        <w:tc>
          <w:tcPr>
            <w:tcW w:w="1869" w:type="dxa"/>
            <w:vAlign w:val="center"/>
          </w:tcPr>
          <w:p>
            <w:pPr>
              <w:spacing w:line="380" w:lineRule="exact"/>
              <w:jc w:val="center"/>
              <w:rPr>
                <w:rFonts w:ascii="宋体" w:hAnsi="宋体" w:cs="宋体"/>
                <w:color w:val="auto"/>
                <w:sz w:val="22"/>
                <w:highlight w:val="none"/>
              </w:rPr>
            </w:pPr>
          </w:p>
        </w:tc>
        <w:tc>
          <w:tcPr>
            <w:tcW w:w="1761" w:type="dxa"/>
            <w:vAlign w:val="center"/>
          </w:tcPr>
          <w:p>
            <w:pPr>
              <w:spacing w:line="380" w:lineRule="exact"/>
              <w:jc w:val="center"/>
              <w:rPr>
                <w:rFonts w:ascii="宋体" w:hAnsi="宋体" w:cs="宋体"/>
                <w:color w:val="auto"/>
                <w:sz w:val="22"/>
                <w:highlight w:val="none"/>
              </w:rPr>
            </w:pPr>
          </w:p>
        </w:tc>
      </w:tr>
    </w:tbl>
    <w:p>
      <w:pPr>
        <w:pStyle w:val="14"/>
        <w:spacing w:line="400" w:lineRule="atLeast"/>
        <w:ind w:left="358" w:hanging="358" w:hangingChars="162"/>
        <w:rPr>
          <w:rFonts w:ascii="宋体" w:hAnsi="宋体" w:eastAsia="宋体" w:cs="宋体"/>
          <w:b/>
          <w:color w:val="auto"/>
          <w:sz w:val="24"/>
          <w:highlight w:val="none"/>
        </w:rPr>
      </w:pPr>
      <w:r>
        <w:rPr>
          <w:rFonts w:hint="eastAsia" w:ascii="宋体" w:hAnsi="宋体" w:eastAsia="宋体" w:cs="宋体"/>
          <w:b/>
          <w:color w:val="auto"/>
          <w:sz w:val="22"/>
          <w:highlight w:val="none"/>
        </w:rPr>
        <w:t>注：如有偏离，必须在偏离表中进行详细对比说明并注明正偏离和负偏离，</w:t>
      </w:r>
      <w:r>
        <w:rPr>
          <w:rFonts w:hint="eastAsia" w:ascii="宋体" w:hAnsi="宋体" w:eastAsia="宋体" w:cs="宋体"/>
          <w:b/>
          <w:color w:val="auto"/>
          <w:sz w:val="24"/>
          <w:highlight w:val="none"/>
        </w:rPr>
        <w:t>如不填写此表，则视为完全响应采购文件要求，由投标人自行承担投标风险。</w:t>
      </w:r>
    </w:p>
    <w:p>
      <w:pPr>
        <w:spacing w:line="380" w:lineRule="exact"/>
        <w:rPr>
          <w:rFonts w:ascii="宋体" w:hAnsi="宋体" w:cs="宋体"/>
          <w:color w:val="auto"/>
          <w:sz w:val="22"/>
          <w:highlight w:val="none"/>
        </w:rPr>
      </w:pPr>
    </w:p>
    <w:p>
      <w:pPr>
        <w:spacing w:line="380" w:lineRule="exact"/>
        <w:rPr>
          <w:rFonts w:ascii="宋体" w:hAnsi="宋体" w:cs="宋体"/>
          <w:color w:val="auto"/>
          <w:sz w:val="22"/>
          <w:highlight w:val="none"/>
        </w:rPr>
      </w:pPr>
      <w:r>
        <w:rPr>
          <w:rFonts w:hint="eastAsia" w:ascii="宋体" w:hAnsi="宋体" w:cs="宋体"/>
          <w:color w:val="auto"/>
          <w:sz w:val="22"/>
          <w:highlight w:val="none"/>
        </w:rPr>
        <w:t>投标人全称（盖章）：</w:t>
      </w:r>
    </w:p>
    <w:p>
      <w:pPr>
        <w:spacing w:line="380" w:lineRule="exact"/>
        <w:rPr>
          <w:rFonts w:ascii="宋体" w:hAnsi="宋体" w:cs="宋体"/>
          <w:color w:val="auto"/>
          <w:sz w:val="22"/>
          <w:highlight w:val="none"/>
        </w:rPr>
      </w:pPr>
      <w:r>
        <w:rPr>
          <w:rFonts w:hint="eastAsia" w:ascii="宋体" w:hAnsi="宋体" w:cs="宋体"/>
          <w:color w:val="auto"/>
          <w:sz w:val="22"/>
          <w:highlight w:val="none"/>
        </w:rPr>
        <w:t>法定代表人或授权代表（签字或盖章）：</w:t>
      </w:r>
    </w:p>
    <w:p>
      <w:pPr>
        <w:spacing w:line="380" w:lineRule="exact"/>
        <w:rPr>
          <w:rFonts w:ascii="宋体" w:hAnsi="宋体" w:cs="宋体"/>
          <w:color w:val="auto"/>
          <w:sz w:val="24"/>
          <w:highlight w:val="none"/>
        </w:rPr>
        <w:sectPr>
          <w:pgSz w:w="11900" w:h="16838"/>
          <w:pgMar w:top="1134" w:right="1134" w:bottom="1134" w:left="1134" w:header="737" w:footer="737" w:gutter="0"/>
          <w:pgBorders>
            <w:top w:val="none" w:sz="0" w:space="0"/>
            <w:left w:val="none" w:sz="0" w:space="0"/>
            <w:bottom w:val="none" w:sz="0" w:space="0"/>
            <w:right w:val="none" w:sz="0" w:space="0"/>
          </w:pgBorders>
          <w:pgNumType w:start="1"/>
          <w:cols w:space="720" w:num="1"/>
          <w:docGrid w:linePitch="312" w:charSpace="0"/>
        </w:sectPr>
      </w:pPr>
      <w:r>
        <w:rPr>
          <w:rFonts w:hint="eastAsia" w:ascii="宋体" w:hAnsi="宋体" w:cs="宋体"/>
          <w:color w:val="auto"/>
          <w:sz w:val="22"/>
          <w:highlight w:val="none"/>
        </w:rPr>
        <w:t xml:space="preserve">日  期： </w:t>
      </w:r>
      <w:r>
        <w:rPr>
          <w:rFonts w:hint="eastAsia" w:ascii="宋体" w:hAnsi="宋体" w:cs="宋体"/>
          <w:color w:val="auto"/>
          <w:sz w:val="24"/>
          <w:highlight w:val="none"/>
        </w:rPr>
        <w:t xml:space="preserve"> </w:t>
      </w:r>
    </w:p>
    <w:p>
      <w:pPr>
        <w:pStyle w:val="13"/>
        <w:spacing w:line="460" w:lineRule="exact"/>
        <w:ind w:left="0" w:firstLine="0" w:firstLineChars="0"/>
        <w:outlineLvl w:val="1"/>
        <w:rPr>
          <w:rFonts w:ascii="宋体" w:hAnsi="宋体" w:cs="宋体"/>
          <w:b/>
          <w:color w:val="auto"/>
          <w:szCs w:val="28"/>
          <w:highlight w:val="none"/>
        </w:rPr>
      </w:pPr>
      <w:bookmarkStart w:id="196" w:name="_Toc472086519"/>
      <w:r>
        <w:rPr>
          <w:rFonts w:hint="eastAsia" w:ascii="宋体" w:hAnsi="宋体" w:cs="宋体"/>
          <w:b/>
          <w:color w:val="auto"/>
          <w:szCs w:val="28"/>
          <w:highlight w:val="none"/>
        </w:rPr>
        <w:t>附件</w:t>
      </w:r>
      <w:bookmarkEnd w:id="196"/>
      <w:r>
        <w:rPr>
          <w:rFonts w:hint="eastAsia" w:ascii="宋体" w:hAnsi="宋体" w:cs="宋体"/>
          <w:b/>
          <w:color w:val="auto"/>
          <w:szCs w:val="28"/>
          <w:highlight w:val="none"/>
        </w:rPr>
        <w:t>三</w:t>
      </w:r>
    </w:p>
    <w:p>
      <w:pPr>
        <w:tabs>
          <w:tab w:val="left" w:pos="774"/>
        </w:tabs>
        <w:autoSpaceDE w:val="0"/>
        <w:autoSpaceDN w:val="0"/>
        <w:spacing w:line="276" w:lineRule="auto"/>
        <w:ind w:left="774" w:hanging="576"/>
        <w:jc w:val="center"/>
        <w:outlineLvl w:val="2"/>
        <w:rPr>
          <w:rFonts w:ascii="宋体" w:hAnsi="宋体" w:cs="宋体"/>
          <w:b/>
          <w:color w:val="auto"/>
          <w:sz w:val="28"/>
          <w:szCs w:val="28"/>
          <w:highlight w:val="none"/>
          <w:lang w:val="zh-CN"/>
        </w:rPr>
      </w:pPr>
      <w:bookmarkStart w:id="197" w:name="_Toc472086520"/>
      <w:r>
        <w:rPr>
          <w:rFonts w:hint="eastAsia" w:ascii="宋体" w:hAnsi="宋体" w:cs="宋体"/>
          <w:b/>
          <w:color w:val="auto"/>
          <w:sz w:val="28"/>
          <w:szCs w:val="28"/>
          <w:highlight w:val="none"/>
          <w:lang w:val="zh-CN"/>
        </w:rPr>
        <w:t>资格证明文件</w:t>
      </w:r>
      <w:bookmarkEnd w:id="197"/>
      <w:r>
        <w:rPr>
          <w:rFonts w:hint="eastAsia" w:ascii="宋体" w:hAnsi="宋体" w:cs="宋体"/>
          <w:b/>
          <w:color w:val="auto"/>
          <w:sz w:val="28"/>
          <w:szCs w:val="28"/>
          <w:highlight w:val="none"/>
          <w:lang w:val="zh-CN"/>
        </w:rPr>
        <w:t xml:space="preserve"> </w:t>
      </w:r>
    </w:p>
    <w:p>
      <w:pPr>
        <w:overflowPunct w:val="0"/>
        <w:spacing w:line="38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（1）法定代表人授权书</w:t>
      </w:r>
    </w:p>
    <w:p>
      <w:pPr>
        <w:overflowPunct w:val="0"/>
        <w:spacing w:line="420" w:lineRule="exact"/>
        <w:rPr>
          <w:rFonts w:ascii="宋体" w:hAnsi="宋体" w:cs="宋体"/>
          <w:color w:val="auto"/>
          <w:sz w:val="22"/>
          <w:szCs w:val="22"/>
          <w:highlight w:val="none"/>
        </w:rPr>
      </w:pPr>
    </w:p>
    <w:p>
      <w:pPr>
        <w:overflowPunct w:val="0"/>
        <w:spacing w:line="420" w:lineRule="exact"/>
        <w:rPr>
          <w:rFonts w:ascii="宋体" w:hAnsi="宋体" w:cs="宋体"/>
          <w:color w:val="auto"/>
          <w:sz w:val="22"/>
          <w:szCs w:val="22"/>
          <w:highlight w:val="none"/>
        </w:rPr>
      </w:pPr>
      <w:r>
        <w:rPr>
          <w:rFonts w:hint="eastAsia" w:ascii="宋体" w:hAnsi="宋体" w:cs="宋体"/>
          <w:color w:val="auto"/>
          <w:sz w:val="22"/>
          <w:szCs w:val="22"/>
          <w:highlight w:val="none"/>
        </w:rPr>
        <w:t>温州快鹿集团公司：</w:t>
      </w:r>
    </w:p>
    <w:p>
      <w:pPr>
        <w:overflowPunct w:val="0"/>
        <w:spacing w:line="420" w:lineRule="exact"/>
        <w:rPr>
          <w:rFonts w:ascii="宋体" w:hAnsi="宋体" w:cs="宋体"/>
          <w:color w:val="auto"/>
          <w:sz w:val="22"/>
          <w:szCs w:val="22"/>
          <w:highlight w:val="none"/>
          <w:u w:val="single"/>
        </w:rPr>
      </w:pPr>
      <w:r>
        <w:rPr>
          <w:rFonts w:hint="eastAsia" w:ascii="宋体" w:hAnsi="宋体" w:cs="宋体"/>
          <w:color w:val="auto"/>
          <w:sz w:val="22"/>
          <w:szCs w:val="22"/>
          <w:highlight w:val="none"/>
        </w:rPr>
        <w:t>浙江信诚项目管理有限公司：</w:t>
      </w:r>
    </w:p>
    <w:p>
      <w:pPr>
        <w:overflowPunct w:val="0"/>
        <w:spacing w:line="460" w:lineRule="exact"/>
        <w:ind w:firstLine="550" w:firstLineChars="250"/>
        <w:rPr>
          <w:rFonts w:ascii="宋体" w:hAnsi="宋体" w:cs="宋体"/>
          <w:color w:val="auto"/>
          <w:sz w:val="22"/>
          <w:szCs w:val="22"/>
          <w:highlight w:val="none"/>
        </w:rPr>
      </w:pP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（投标人全称）法定代表人</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授权</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 xml:space="preserve">（全权代表姓名）为全权代表，参加贵处组织的 </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（采购项目名称）</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（编号）的采购活动，全权代表我方处理采购活动中的一切事宜。</w:t>
      </w:r>
    </w:p>
    <w:p>
      <w:pPr>
        <w:overflowPunct w:val="0"/>
        <w:spacing w:line="460" w:lineRule="exact"/>
        <w:ind w:firstLine="2955"/>
        <w:rPr>
          <w:rFonts w:ascii="宋体" w:hAnsi="宋体" w:cs="宋体"/>
          <w:color w:val="auto"/>
          <w:sz w:val="22"/>
          <w:szCs w:val="22"/>
          <w:highlight w:val="none"/>
        </w:rPr>
      </w:pPr>
    </w:p>
    <w:p>
      <w:pPr>
        <w:overflowPunct w:val="0"/>
        <w:spacing w:line="460" w:lineRule="exact"/>
        <w:ind w:firstLine="2955"/>
        <w:rPr>
          <w:rFonts w:ascii="宋体" w:hAnsi="宋体" w:cs="宋体"/>
          <w:color w:val="auto"/>
          <w:sz w:val="22"/>
          <w:szCs w:val="22"/>
          <w:highlight w:val="none"/>
        </w:rPr>
      </w:pPr>
      <w:r>
        <w:rPr>
          <w:rFonts w:hint="eastAsia" w:ascii="宋体" w:hAnsi="宋体" w:cs="宋体"/>
          <w:color w:val="auto"/>
          <w:sz w:val="22"/>
          <w:szCs w:val="22"/>
          <w:highlight w:val="none"/>
        </w:rPr>
        <w:t xml:space="preserve">         </w:t>
      </w:r>
    </w:p>
    <w:p>
      <w:pPr>
        <w:overflowPunct w:val="0"/>
        <w:spacing w:line="460" w:lineRule="exact"/>
        <w:ind w:firstLine="3971" w:firstLineChars="1805"/>
        <w:rPr>
          <w:rFonts w:ascii="宋体" w:hAnsi="宋体" w:cs="宋体"/>
          <w:color w:val="auto"/>
          <w:sz w:val="22"/>
          <w:szCs w:val="22"/>
          <w:highlight w:val="none"/>
        </w:rPr>
      </w:pPr>
      <w:r>
        <w:rPr>
          <w:rFonts w:hint="eastAsia" w:ascii="宋体" w:hAnsi="宋体" w:cs="宋体"/>
          <w:color w:val="auto"/>
          <w:sz w:val="22"/>
          <w:szCs w:val="22"/>
          <w:highlight w:val="none"/>
        </w:rPr>
        <w:t>法定代表人 (签字或盖章)：</w:t>
      </w:r>
    </w:p>
    <w:p>
      <w:pPr>
        <w:overflowPunct w:val="0"/>
        <w:spacing w:line="460" w:lineRule="exact"/>
        <w:ind w:firstLine="2955"/>
        <w:rPr>
          <w:rFonts w:ascii="宋体" w:hAnsi="宋体" w:cs="宋体"/>
          <w:color w:val="auto"/>
          <w:sz w:val="22"/>
          <w:szCs w:val="22"/>
          <w:highlight w:val="none"/>
        </w:rPr>
      </w:pPr>
      <w:r>
        <w:rPr>
          <w:rFonts w:hint="eastAsia" w:ascii="宋体" w:hAnsi="宋体" w:cs="宋体"/>
          <w:color w:val="auto"/>
          <w:sz w:val="22"/>
          <w:szCs w:val="22"/>
          <w:highlight w:val="none"/>
        </w:rPr>
        <w:t xml:space="preserve">         投标人全称（公章）：</w:t>
      </w:r>
    </w:p>
    <w:p>
      <w:pPr>
        <w:overflowPunct w:val="0"/>
        <w:spacing w:line="460" w:lineRule="exact"/>
        <w:ind w:firstLine="2955"/>
        <w:rPr>
          <w:rFonts w:ascii="宋体" w:hAnsi="宋体" w:cs="宋体"/>
          <w:color w:val="auto"/>
          <w:sz w:val="22"/>
          <w:szCs w:val="22"/>
          <w:highlight w:val="none"/>
        </w:rPr>
      </w:pPr>
      <w:r>
        <w:rPr>
          <w:rFonts w:hint="eastAsia" w:ascii="宋体" w:hAnsi="宋体" w:cs="宋体"/>
          <w:color w:val="auto"/>
          <w:sz w:val="22"/>
          <w:szCs w:val="22"/>
          <w:highlight w:val="none"/>
        </w:rPr>
        <w:t xml:space="preserve">         日  期：</w:t>
      </w:r>
    </w:p>
    <w:p>
      <w:pPr>
        <w:overflowPunct w:val="0"/>
        <w:spacing w:line="460" w:lineRule="exact"/>
        <w:rPr>
          <w:rFonts w:ascii="宋体" w:hAnsi="宋体" w:cs="宋体"/>
          <w:color w:val="auto"/>
          <w:sz w:val="22"/>
          <w:szCs w:val="22"/>
          <w:highlight w:val="none"/>
        </w:rPr>
      </w:pPr>
    </w:p>
    <w:p>
      <w:pPr>
        <w:overflowPunct w:val="0"/>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附：</w:t>
      </w:r>
    </w:p>
    <w:p>
      <w:pPr>
        <w:overflowPunct w:val="0"/>
        <w:spacing w:line="46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授权代表姓名：</w:t>
      </w:r>
    </w:p>
    <w:p>
      <w:pPr>
        <w:overflowPunct w:val="0"/>
        <w:spacing w:line="46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职务：</w:t>
      </w:r>
    </w:p>
    <w:p>
      <w:pPr>
        <w:overflowPunct w:val="0"/>
        <w:spacing w:line="46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详细通讯地址：</w:t>
      </w:r>
    </w:p>
    <w:p>
      <w:pPr>
        <w:overflowPunct w:val="0"/>
        <w:spacing w:line="46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电话：</w:t>
      </w:r>
    </w:p>
    <w:p>
      <w:pPr>
        <w:overflowPunct w:val="0"/>
        <w:spacing w:line="46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传真：</w:t>
      </w:r>
    </w:p>
    <w:p>
      <w:pPr>
        <w:overflowPunct w:val="0"/>
        <w:spacing w:line="46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邮政编码:</w:t>
      </w:r>
    </w:p>
    <w:tbl>
      <w:tblPr>
        <w:tblStyle w:val="27"/>
        <w:tblW w:w="6172" w:type="dxa"/>
        <w:tblInd w:w="29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7" w:hRule="atLeast"/>
        </w:trPr>
        <w:tc>
          <w:tcPr>
            <w:tcW w:w="6172" w:type="dxa"/>
            <w:vAlign w:val="center"/>
          </w:tcPr>
          <w:p>
            <w:pPr>
              <w:overflowPunct w:val="0"/>
              <w:spacing w:line="38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投标人代表身份证正反面复印件</w:t>
            </w:r>
          </w:p>
          <w:p>
            <w:pPr>
              <w:overflowPunct w:val="0"/>
              <w:spacing w:line="380" w:lineRule="exact"/>
              <w:jc w:val="center"/>
              <w:rPr>
                <w:rFonts w:ascii="宋体" w:hAnsi="宋体" w:cs="宋体"/>
                <w:b/>
                <w:bCs/>
                <w:color w:val="auto"/>
                <w:sz w:val="28"/>
                <w:highlight w:val="none"/>
              </w:rPr>
            </w:pPr>
          </w:p>
        </w:tc>
      </w:tr>
    </w:tbl>
    <w:p>
      <w:pPr>
        <w:overflowPunct w:val="0"/>
        <w:spacing w:line="460" w:lineRule="exact"/>
        <w:jc w:val="center"/>
        <w:rPr>
          <w:rFonts w:ascii="宋体" w:hAnsi="宋体" w:cs="宋体"/>
          <w:b/>
          <w:color w:val="auto"/>
          <w:sz w:val="28"/>
          <w:highlight w:val="none"/>
        </w:rPr>
      </w:pPr>
    </w:p>
    <w:p>
      <w:pPr>
        <w:spacing w:line="460" w:lineRule="exact"/>
        <w:rPr>
          <w:rFonts w:ascii="宋体" w:hAnsi="宋体" w:cs="宋体"/>
          <w:b/>
          <w:bCs/>
          <w:color w:val="auto"/>
          <w:kern w:val="0"/>
          <w:sz w:val="24"/>
          <w:highlight w:val="none"/>
        </w:rPr>
      </w:pPr>
      <w:r>
        <w:rPr>
          <w:rFonts w:hint="eastAsia" w:ascii="宋体" w:hAnsi="宋体" w:cs="宋体"/>
          <w:b/>
          <w:bCs/>
          <w:color w:val="auto"/>
          <w:sz w:val="28"/>
          <w:szCs w:val="28"/>
          <w:highlight w:val="none"/>
        </w:rPr>
        <w:br w:type="page"/>
      </w:r>
    </w:p>
    <w:p>
      <w:pPr>
        <w:numPr>
          <w:ilvl w:val="0"/>
          <w:numId w:val="13"/>
        </w:numPr>
        <w:spacing w:line="46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企业法人有效营业执照（复印件加盖单位公章）</w:t>
      </w:r>
    </w:p>
    <w:p>
      <w:pPr>
        <w:numPr>
          <w:ilvl w:val="0"/>
          <w:numId w:val="13"/>
        </w:numPr>
        <w:spacing w:line="46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公安部门颁发的有效的《保安服务许可证》（复印件加盖单位公章）</w:t>
      </w:r>
    </w:p>
    <w:p>
      <w:pPr>
        <w:snapToGrid w:val="0"/>
        <w:spacing w:before="50" w:after="120" w:afterLines="50"/>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t>（4）投标人“信用中国”(www.creditchina.gov.cn)；“中国政府采购网”（http://www.ccgp.gov.cn/）信用记录网页截图（查询时间：采购公告发布之日至投标截止时间前均可）（具体以开标当日采购人或采购代理机构网页查询结果为准）</w:t>
      </w:r>
    </w:p>
    <w:p>
      <w:pPr>
        <w:snapToGrid w:val="0"/>
        <w:spacing w:before="50" w:after="120" w:afterLines="50"/>
        <w:ind w:firstLine="2249" w:firstLineChars="800"/>
        <w:jc w:val="left"/>
        <w:rPr>
          <w:rFonts w:ascii="宋体" w:hAnsi="宋体" w:cs="宋体"/>
          <w:b/>
          <w:bCs/>
          <w:color w:val="auto"/>
          <w:sz w:val="28"/>
          <w:szCs w:val="28"/>
          <w:highlight w:val="none"/>
        </w:rPr>
      </w:pPr>
    </w:p>
    <w:p>
      <w:pPr>
        <w:snapToGrid w:val="0"/>
        <w:spacing w:before="50" w:after="120" w:afterLines="50"/>
        <w:ind w:firstLine="2249" w:firstLineChars="800"/>
        <w:jc w:val="left"/>
        <w:rPr>
          <w:rFonts w:ascii="宋体" w:hAnsi="宋体" w:cs="宋体"/>
          <w:b/>
          <w:bCs/>
          <w:color w:val="auto"/>
          <w:sz w:val="28"/>
          <w:szCs w:val="28"/>
          <w:highlight w:val="none"/>
        </w:rPr>
      </w:pPr>
    </w:p>
    <w:p>
      <w:pPr>
        <w:snapToGrid w:val="0"/>
        <w:spacing w:before="50" w:after="120" w:afterLines="50"/>
        <w:ind w:firstLine="2249" w:firstLineChars="800"/>
        <w:jc w:val="left"/>
        <w:rPr>
          <w:rFonts w:ascii="宋体" w:hAnsi="宋体" w:cs="宋体"/>
          <w:b/>
          <w:bCs/>
          <w:color w:val="auto"/>
          <w:sz w:val="28"/>
          <w:szCs w:val="28"/>
          <w:highlight w:val="none"/>
        </w:rPr>
      </w:pPr>
    </w:p>
    <w:p>
      <w:pPr>
        <w:snapToGrid w:val="0"/>
        <w:spacing w:before="50" w:after="120" w:afterLines="50"/>
        <w:ind w:firstLine="2249" w:firstLineChars="800"/>
        <w:jc w:val="left"/>
        <w:rPr>
          <w:rFonts w:ascii="宋体" w:hAnsi="宋体" w:cs="宋体"/>
          <w:b/>
          <w:bCs/>
          <w:color w:val="auto"/>
          <w:sz w:val="28"/>
          <w:szCs w:val="28"/>
          <w:highlight w:val="none"/>
        </w:rPr>
      </w:pPr>
    </w:p>
    <w:p>
      <w:pPr>
        <w:snapToGrid w:val="0"/>
        <w:spacing w:before="50" w:after="120" w:afterLines="50"/>
        <w:ind w:firstLine="2249" w:firstLineChars="800"/>
        <w:jc w:val="left"/>
        <w:rPr>
          <w:rFonts w:ascii="宋体" w:hAnsi="宋体" w:cs="宋体"/>
          <w:b/>
          <w:bCs/>
          <w:color w:val="auto"/>
          <w:sz w:val="28"/>
          <w:szCs w:val="28"/>
          <w:highlight w:val="none"/>
        </w:rPr>
      </w:pPr>
    </w:p>
    <w:p>
      <w:pPr>
        <w:snapToGrid w:val="0"/>
        <w:spacing w:before="50" w:after="120" w:afterLines="50"/>
        <w:ind w:firstLine="2249" w:firstLineChars="800"/>
        <w:jc w:val="left"/>
        <w:rPr>
          <w:rFonts w:ascii="宋体" w:hAnsi="宋体" w:cs="宋体"/>
          <w:b/>
          <w:bCs/>
          <w:color w:val="auto"/>
          <w:sz w:val="28"/>
          <w:szCs w:val="28"/>
          <w:highlight w:val="none"/>
        </w:rPr>
      </w:pPr>
    </w:p>
    <w:p>
      <w:pPr>
        <w:snapToGrid w:val="0"/>
        <w:spacing w:before="50" w:after="120" w:afterLines="50"/>
        <w:ind w:firstLine="2249" w:firstLineChars="800"/>
        <w:jc w:val="left"/>
        <w:rPr>
          <w:rFonts w:ascii="宋体" w:hAnsi="宋体" w:cs="宋体"/>
          <w:b/>
          <w:bCs/>
          <w:color w:val="auto"/>
          <w:sz w:val="28"/>
          <w:szCs w:val="28"/>
          <w:highlight w:val="none"/>
        </w:rPr>
      </w:pPr>
    </w:p>
    <w:p>
      <w:pPr>
        <w:snapToGrid w:val="0"/>
        <w:spacing w:before="50" w:after="120" w:afterLines="50"/>
        <w:ind w:firstLine="2249" w:firstLineChars="800"/>
        <w:jc w:val="left"/>
        <w:rPr>
          <w:rFonts w:ascii="宋体" w:hAnsi="宋体" w:cs="宋体"/>
          <w:b/>
          <w:bCs/>
          <w:color w:val="auto"/>
          <w:sz w:val="28"/>
          <w:szCs w:val="28"/>
          <w:highlight w:val="none"/>
        </w:rPr>
      </w:pPr>
    </w:p>
    <w:p>
      <w:pPr>
        <w:snapToGrid w:val="0"/>
        <w:spacing w:before="50" w:after="120" w:afterLines="50"/>
        <w:ind w:firstLine="2249" w:firstLineChars="800"/>
        <w:jc w:val="left"/>
        <w:rPr>
          <w:rFonts w:ascii="宋体" w:hAnsi="宋体" w:cs="宋体"/>
          <w:b/>
          <w:bCs/>
          <w:color w:val="auto"/>
          <w:sz w:val="28"/>
          <w:szCs w:val="28"/>
          <w:highlight w:val="none"/>
        </w:rPr>
      </w:pPr>
    </w:p>
    <w:p>
      <w:pPr>
        <w:snapToGrid w:val="0"/>
        <w:spacing w:before="50" w:after="120" w:afterLines="50"/>
        <w:ind w:firstLine="2249" w:firstLineChars="800"/>
        <w:jc w:val="left"/>
        <w:rPr>
          <w:rFonts w:ascii="宋体" w:hAnsi="宋体" w:cs="宋体"/>
          <w:b/>
          <w:bCs/>
          <w:color w:val="auto"/>
          <w:sz w:val="28"/>
          <w:szCs w:val="28"/>
          <w:highlight w:val="none"/>
        </w:rPr>
      </w:pPr>
    </w:p>
    <w:p>
      <w:pPr>
        <w:snapToGrid w:val="0"/>
        <w:spacing w:before="50" w:after="120" w:afterLines="50"/>
        <w:ind w:firstLine="2249" w:firstLineChars="800"/>
        <w:jc w:val="left"/>
        <w:rPr>
          <w:rFonts w:ascii="宋体" w:hAnsi="宋体" w:cs="宋体"/>
          <w:b/>
          <w:bCs/>
          <w:color w:val="auto"/>
          <w:sz w:val="28"/>
          <w:szCs w:val="28"/>
          <w:highlight w:val="none"/>
        </w:rPr>
      </w:pPr>
    </w:p>
    <w:p>
      <w:pPr>
        <w:snapToGrid w:val="0"/>
        <w:spacing w:before="50" w:after="120" w:afterLines="50"/>
        <w:ind w:firstLine="2249" w:firstLineChars="800"/>
        <w:jc w:val="left"/>
        <w:rPr>
          <w:rFonts w:ascii="宋体" w:hAnsi="宋体" w:cs="宋体"/>
          <w:b/>
          <w:bCs/>
          <w:color w:val="auto"/>
          <w:sz w:val="28"/>
          <w:szCs w:val="28"/>
          <w:highlight w:val="none"/>
        </w:rPr>
      </w:pPr>
    </w:p>
    <w:p>
      <w:pPr>
        <w:snapToGrid w:val="0"/>
        <w:spacing w:before="50" w:after="120" w:afterLines="50"/>
        <w:ind w:firstLine="2249" w:firstLineChars="800"/>
        <w:jc w:val="left"/>
        <w:rPr>
          <w:rFonts w:ascii="宋体" w:hAnsi="宋体" w:cs="宋体"/>
          <w:b/>
          <w:bCs/>
          <w:color w:val="auto"/>
          <w:sz w:val="28"/>
          <w:szCs w:val="28"/>
          <w:highlight w:val="none"/>
        </w:rPr>
      </w:pPr>
    </w:p>
    <w:p>
      <w:pPr>
        <w:snapToGrid w:val="0"/>
        <w:spacing w:before="50" w:after="120" w:afterLines="50"/>
        <w:ind w:firstLine="2249" w:firstLineChars="800"/>
        <w:jc w:val="left"/>
        <w:rPr>
          <w:rFonts w:ascii="宋体" w:hAnsi="宋体" w:cs="宋体"/>
          <w:b/>
          <w:bCs/>
          <w:color w:val="auto"/>
          <w:sz w:val="28"/>
          <w:szCs w:val="28"/>
          <w:highlight w:val="none"/>
        </w:rPr>
      </w:pPr>
    </w:p>
    <w:p>
      <w:pPr>
        <w:snapToGrid w:val="0"/>
        <w:spacing w:before="50" w:after="120" w:afterLines="50"/>
        <w:ind w:firstLine="2249" w:firstLineChars="800"/>
        <w:jc w:val="left"/>
        <w:rPr>
          <w:rFonts w:ascii="宋体" w:hAnsi="宋体" w:cs="宋体"/>
          <w:b/>
          <w:bCs/>
          <w:color w:val="auto"/>
          <w:sz w:val="28"/>
          <w:szCs w:val="28"/>
          <w:highlight w:val="none"/>
        </w:rPr>
      </w:pPr>
    </w:p>
    <w:p>
      <w:pPr>
        <w:snapToGrid w:val="0"/>
        <w:spacing w:before="50" w:after="120" w:afterLines="50"/>
        <w:ind w:firstLine="2249" w:firstLineChars="800"/>
        <w:jc w:val="left"/>
        <w:rPr>
          <w:rFonts w:ascii="宋体" w:hAnsi="宋体" w:cs="宋体"/>
          <w:b/>
          <w:bCs/>
          <w:color w:val="auto"/>
          <w:sz w:val="28"/>
          <w:szCs w:val="28"/>
          <w:highlight w:val="none"/>
        </w:rPr>
      </w:pPr>
    </w:p>
    <w:p>
      <w:pPr>
        <w:snapToGrid w:val="0"/>
        <w:spacing w:before="50" w:after="120" w:afterLines="50"/>
        <w:ind w:firstLine="2249" w:firstLineChars="800"/>
        <w:jc w:val="left"/>
        <w:rPr>
          <w:rFonts w:ascii="宋体" w:hAnsi="宋体" w:cs="宋体"/>
          <w:b/>
          <w:bCs/>
          <w:color w:val="auto"/>
          <w:sz w:val="28"/>
          <w:szCs w:val="28"/>
          <w:highlight w:val="none"/>
        </w:rPr>
      </w:pPr>
    </w:p>
    <w:p>
      <w:pPr>
        <w:snapToGrid w:val="0"/>
        <w:spacing w:before="50" w:after="120" w:afterLines="50"/>
        <w:ind w:firstLine="2249" w:firstLineChars="800"/>
        <w:jc w:val="left"/>
        <w:rPr>
          <w:rFonts w:ascii="宋体" w:hAnsi="宋体" w:cs="宋体"/>
          <w:b/>
          <w:bCs/>
          <w:color w:val="auto"/>
          <w:sz w:val="28"/>
          <w:szCs w:val="28"/>
          <w:highlight w:val="none"/>
        </w:rPr>
      </w:pPr>
    </w:p>
    <w:p>
      <w:pPr>
        <w:snapToGrid w:val="0"/>
        <w:spacing w:before="50" w:after="120" w:afterLines="50"/>
        <w:ind w:firstLine="2249" w:firstLineChars="800"/>
        <w:jc w:val="left"/>
        <w:rPr>
          <w:rFonts w:ascii="宋体" w:hAnsi="宋体" w:cs="宋体"/>
          <w:b/>
          <w:bCs/>
          <w:color w:val="auto"/>
          <w:sz w:val="28"/>
          <w:szCs w:val="28"/>
          <w:highlight w:val="none"/>
        </w:rPr>
      </w:pPr>
    </w:p>
    <w:p>
      <w:pPr>
        <w:snapToGrid w:val="0"/>
        <w:spacing w:before="50" w:after="120" w:afterLines="50"/>
        <w:ind w:firstLine="2249" w:firstLineChars="800"/>
        <w:jc w:val="left"/>
        <w:rPr>
          <w:rFonts w:ascii="宋体" w:hAnsi="宋体" w:cs="宋体"/>
          <w:b/>
          <w:bCs/>
          <w:color w:val="auto"/>
          <w:sz w:val="28"/>
          <w:szCs w:val="28"/>
          <w:highlight w:val="none"/>
        </w:rPr>
      </w:pPr>
    </w:p>
    <w:p>
      <w:pPr>
        <w:snapToGrid w:val="0"/>
        <w:spacing w:before="50" w:after="120" w:afterLines="50"/>
        <w:ind w:firstLine="2249" w:firstLineChars="800"/>
        <w:jc w:val="left"/>
        <w:rPr>
          <w:rFonts w:ascii="宋体" w:hAnsi="宋体" w:cs="宋体"/>
          <w:b/>
          <w:bCs/>
          <w:color w:val="auto"/>
          <w:sz w:val="28"/>
          <w:szCs w:val="28"/>
          <w:highlight w:val="none"/>
        </w:rPr>
      </w:pPr>
    </w:p>
    <w:p>
      <w:pPr>
        <w:snapToGrid w:val="0"/>
        <w:spacing w:before="50" w:after="120" w:afterLines="50"/>
        <w:ind w:firstLine="2249" w:firstLineChars="800"/>
        <w:jc w:val="left"/>
        <w:rPr>
          <w:rFonts w:ascii="宋体" w:hAnsi="宋体" w:cs="宋体"/>
          <w:b/>
          <w:bCs/>
          <w:color w:val="auto"/>
          <w:sz w:val="28"/>
          <w:szCs w:val="28"/>
          <w:highlight w:val="none"/>
        </w:rPr>
      </w:pPr>
    </w:p>
    <w:p>
      <w:pPr>
        <w:snapToGrid w:val="0"/>
        <w:spacing w:before="50" w:after="120" w:afterLines="50"/>
        <w:ind w:firstLine="2249" w:firstLineChars="800"/>
        <w:jc w:val="left"/>
        <w:rPr>
          <w:rFonts w:ascii="宋体" w:hAnsi="宋体" w:cs="宋体"/>
          <w:b/>
          <w:bCs/>
          <w:color w:val="auto"/>
          <w:sz w:val="28"/>
          <w:szCs w:val="28"/>
          <w:highlight w:val="none"/>
        </w:rPr>
      </w:pPr>
    </w:p>
    <w:p>
      <w:pPr>
        <w:snapToGrid w:val="0"/>
        <w:spacing w:before="50" w:after="120" w:afterLines="50"/>
        <w:ind w:firstLine="2249" w:firstLineChars="800"/>
        <w:jc w:val="left"/>
        <w:rPr>
          <w:rFonts w:ascii="宋体" w:hAnsi="宋体" w:cs="宋体"/>
          <w:bCs/>
          <w:color w:val="auto"/>
          <w:sz w:val="28"/>
          <w:szCs w:val="28"/>
          <w:highlight w:val="none"/>
        </w:rPr>
      </w:pPr>
      <w:r>
        <w:rPr>
          <w:rFonts w:hint="eastAsia" w:ascii="宋体" w:hAnsi="宋体" w:cs="宋体"/>
          <w:b/>
          <w:bCs/>
          <w:color w:val="auto"/>
          <w:sz w:val="28"/>
          <w:szCs w:val="28"/>
          <w:highlight w:val="none"/>
        </w:rPr>
        <w:t>（5）无重大违法记录声明书</w:t>
      </w:r>
    </w:p>
    <w:p>
      <w:pPr>
        <w:spacing w:line="360" w:lineRule="auto"/>
        <w:ind w:right="-153" w:rightChars="-73"/>
        <w:rPr>
          <w:rFonts w:ascii="宋体" w:hAnsi="宋体" w:cs="宋体"/>
          <w:bCs/>
          <w:color w:val="auto"/>
          <w:sz w:val="22"/>
          <w:szCs w:val="22"/>
          <w:highlight w:val="none"/>
        </w:rPr>
      </w:pPr>
    </w:p>
    <w:p>
      <w:pPr>
        <w:spacing w:line="360" w:lineRule="auto"/>
        <w:ind w:right="-153" w:rightChars="-73"/>
        <w:rPr>
          <w:rFonts w:ascii="宋体" w:hAnsi="宋体" w:cs="宋体"/>
          <w:bCs/>
          <w:color w:val="auto"/>
          <w:sz w:val="22"/>
          <w:szCs w:val="22"/>
          <w:highlight w:val="none"/>
        </w:rPr>
      </w:pPr>
      <w:r>
        <w:rPr>
          <w:rFonts w:hint="eastAsia" w:ascii="宋体" w:hAnsi="宋体" w:cs="宋体"/>
          <w:bCs/>
          <w:color w:val="auto"/>
          <w:sz w:val="22"/>
          <w:szCs w:val="22"/>
          <w:highlight w:val="none"/>
        </w:rPr>
        <w:t>温州快鹿集团公司：</w:t>
      </w:r>
    </w:p>
    <w:p>
      <w:pPr>
        <w:spacing w:line="360" w:lineRule="auto"/>
        <w:ind w:firstLine="440" w:firstLineChars="200"/>
        <w:rPr>
          <w:rFonts w:ascii="宋体" w:hAnsi="宋体" w:cs="宋体"/>
          <w:bCs/>
          <w:color w:val="auto"/>
          <w:sz w:val="22"/>
          <w:szCs w:val="22"/>
          <w:highlight w:val="none"/>
        </w:rPr>
      </w:pPr>
      <w:r>
        <w:rPr>
          <w:rFonts w:hint="eastAsia" w:ascii="宋体" w:hAnsi="宋体" w:cs="宋体"/>
          <w:bCs/>
          <w:color w:val="auto"/>
          <w:sz w:val="22"/>
          <w:szCs w:val="22"/>
          <w:highlight w:val="none"/>
        </w:rPr>
        <w:t>我公司参与</w:t>
      </w:r>
      <w:r>
        <w:rPr>
          <w:rFonts w:hint="eastAsia" w:ascii="宋体" w:hAnsi="宋体" w:cs="宋体"/>
          <w:bCs/>
          <w:color w:val="auto"/>
          <w:sz w:val="22"/>
          <w:szCs w:val="22"/>
          <w:highlight w:val="none"/>
          <w:u w:val="single"/>
        </w:rPr>
        <w:t xml:space="preserve">                          </w:t>
      </w:r>
      <w:r>
        <w:rPr>
          <w:rFonts w:hint="eastAsia" w:ascii="宋体" w:hAnsi="宋体" w:cs="宋体"/>
          <w:bCs/>
          <w:color w:val="auto"/>
          <w:sz w:val="22"/>
          <w:szCs w:val="22"/>
          <w:highlight w:val="none"/>
        </w:rPr>
        <w:t>（项目名称、编号）投标，本公司郑重声明，我方参加本项目采购活动前三年内无重大违法记录，符合本项目规定的供应商资格条件。若贵单位在本项目采购过程中发现我方在参加本项目采购活动前三年内有重大违法记录，我公司将无条件退出本项目的投标，并承担因引起的一切后果。我方对此声明负全部法律责任。</w:t>
      </w:r>
    </w:p>
    <w:p>
      <w:pPr>
        <w:spacing w:line="360" w:lineRule="auto"/>
        <w:ind w:firstLine="440" w:firstLineChars="200"/>
        <w:rPr>
          <w:rFonts w:ascii="宋体" w:hAnsi="宋体" w:cs="宋体"/>
          <w:bCs/>
          <w:color w:val="auto"/>
          <w:sz w:val="22"/>
          <w:szCs w:val="22"/>
          <w:highlight w:val="none"/>
        </w:rPr>
      </w:pPr>
      <w:r>
        <w:rPr>
          <w:rFonts w:hint="eastAsia" w:ascii="宋体" w:hAnsi="宋体" w:cs="宋体"/>
          <w:bCs/>
          <w:color w:val="auto"/>
          <w:sz w:val="22"/>
          <w:szCs w:val="22"/>
          <w:highlight w:val="none"/>
        </w:rPr>
        <w:t>特此声明!</w:t>
      </w:r>
    </w:p>
    <w:p>
      <w:pPr>
        <w:spacing w:line="360" w:lineRule="auto"/>
        <w:ind w:firstLine="440" w:firstLineChars="200"/>
        <w:rPr>
          <w:rFonts w:ascii="宋体" w:hAnsi="宋体" w:cs="宋体"/>
          <w:bCs/>
          <w:color w:val="auto"/>
          <w:sz w:val="22"/>
          <w:szCs w:val="22"/>
          <w:highlight w:val="none"/>
        </w:rPr>
      </w:pPr>
    </w:p>
    <w:p>
      <w:pPr>
        <w:spacing w:line="360" w:lineRule="auto"/>
        <w:ind w:firstLine="440" w:firstLineChars="200"/>
        <w:rPr>
          <w:rFonts w:ascii="宋体" w:hAnsi="宋体" w:cs="宋体"/>
          <w:bCs/>
          <w:color w:val="auto"/>
          <w:sz w:val="22"/>
          <w:szCs w:val="22"/>
          <w:highlight w:val="none"/>
        </w:rPr>
      </w:pPr>
    </w:p>
    <w:p>
      <w:pPr>
        <w:spacing w:line="360" w:lineRule="auto"/>
        <w:jc w:val="left"/>
        <w:rPr>
          <w:rFonts w:ascii="宋体" w:hAnsi="宋体" w:cs="宋体"/>
          <w:bCs/>
          <w:color w:val="auto"/>
          <w:sz w:val="22"/>
          <w:szCs w:val="22"/>
          <w:highlight w:val="none"/>
        </w:rPr>
      </w:pPr>
      <w:r>
        <w:rPr>
          <w:rFonts w:hint="eastAsia" w:ascii="宋体" w:hAnsi="宋体" w:cs="宋体"/>
          <w:bCs/>
          <w:color w:val="auto"/>
          <w:sz w:val="22"/>
          <w:szCs w:val="22"/>
          <w:highlight w:val="none"/>
        </w:rPr>
        <w:t>声明供应商全称（公章）：</w:t>
      </w:r>
    </w:p>
    <w:p>
      <w:pPr>
        <w:spacing w:line="360" w:lineRule="auto"/>
        <w:jc w:val="left"/>
        <w:rPr>
          <w:rFonts w:ascii="宋体" w:hAnsi="宋体" w:cs="宋体"/>
          <w:bCs/>
          <w:color w:val="auto"/>
          <w:sz w:val="22"/>
          <w:szCs w:val="22"/>
          <w:highlight w:val="none"/>
        </w:rPr>
      </w:pPr>
      <w:r>
        <w:rPr>
          <w:rFonts w:hint="eastAsia" w:ascii="宋体" w:hAnsi="宋体" w:cs="宋体"/>
          <w:bCs/>
          <w:color w:val="auto"/>
          <w:sz w:val="22"/>
          <w:szCs w:val="22"/>
          <w:highlight w:val="none"/>
        </w:rPr>
        <w:t>法定代表人或授权代表（签字或盖章）：</w:t>
      </w:r>
    </w:p>
    <w:p>
      <w:pPr>
        <w:spacing w:line="360" w:lineRule="auto"/>
        <w:jc w:val="left"/>
        <w:rPr>
          <w:rFonts w:ascii="宋体" w:hAnsi="宋体" w:cs="宋体"/>
          <w:bCs/>
          <w:color w:val="auto"/>
          <w:sz w:val="22"/>
          <w:szCs w:val="22"/>
          <w:highlight w:val="none"/>
        </w:rPr>
      </w:pPr>
      <w:r>
        <w:rPr>
          <w:rFonts w:hint="eastAsia" w:ascii="宋体" w:hAnsi="宋体" w:cs="宋体"/>
          <w:bCs/>
          <w:color w:val="auto"/>
          <w:sz w:val="22"/>
          <w:szCs w:val="22"/>
          <w:highlight w:val="none"/>
        </w:rPr>
        <w:t xml:space="preserve">日期：  年   月  日  </w:t>
      </w:r>
    </w:p>
    <w:p>
      <w:pPr>
        <w:spacing w:line="460" w:lineRule="exact"/>
        <w:rPr>
          <w:rFonts w:ascii="宋体" w:hAnsi="宋体" w:cs="宋体"/>
          <w:bCs/>
          <w:color w:val="auto"/>
          <w:sz w:val="22"/>
          <w:szCs w:val="22"/>
          <w:highlight w:val="none"/>
        </w:rPr>
      </w:pPr>
    </w:p>
    <w:p>
      <w:pPr>
        <w:spacing w:line="460" w:lineRule="exact"/>
        <w:rPr>
          <w:rFonts w:ascii="宋体" w:hAnsi="宋体" w:cs="宋体"/>
          <w:bCs/>
          <w:color w:val="auto"/>
          <w:sz w:val="22"/>
          <w:szCs w:val="22"/>
          <w:highlight w:val="none"/>
        </w:rPr>
      </w:pPr>
    </w:p>
    <w:p>
      <w:pPr>
        <w:snapToGrid w:val="0"/>
        <w:spacing w:before="50" w:after="50" w:line="360" w:lineRule="auto"/>
        <w:rPr>
          <w:rFonts w:ascii="宋体" w:hAnsi="宋体" w:cs="宋体"/>
          <w:color w:val="auto"/>
          <w:sz w:val="22"/>
          <w:szCs w:val="22"/>
          <w:highlight w:val="none"/>
        </w:rPr>
      </w:pPr>
      <w:r>
        <w:rPr>
          <w:rFonts w:hint="eastAsia" w:ascii="宋体" w:hAnsi="宋体" w:cs="宋体"/>
          <w:bCs/>
          <w:color w:val="auto"/>
          <w:sz w:val="22"/>
          <w:szCs w:val="22"/>
          <w:highlight w:val="none"/>
        </w:rPr>
        <w:t>附注</w:t>
      </w:r>
      <w:r>
        <w:rPr>
          <w:rFonts w:hint="eastAsia" w:ascii="宋体" w:hAnsi="宋体" w:cs="宋体"/>
          <w:color w:val="auto"/>
          <w:sz w:val="22"/>
          <w:szCs w:val="22"/>
          <w:highlight w:val="none"/>
        </w:rPr>
        <w:t>：</w:t>
      </w:r>
      <w:r>
        <w:rPr>
          <w:rFonts w:hint="eastAsia" w:ascii="宋体" w:hAnsi="宋体" w:cs="宋体"/>
          <w:b/>
          <w:bCs/>
          <w:color w:val="auto"/>
          <w:sz w:val="22"/>
          <w:szCs w:val="22"/>
          <w:highlight w:val="none"/>
          <w:u w:val="single"/>
        </w:rPr>
        <w:t>▲本声明书格式不得修改，不提交本声明书按无效标处理。</w:t>
      </w:r>
    </w:p>
    <w:p>
      <w:pPr>
        <w:rPr>
          <w:rFonts w:ascii="宋体" w:hAnsi="宋体" w:cs="宋体"/>
          <w:color w:val="auto"/>
          <w:sz w:val="22"/>
          <w:highlight w:val="none"/>
        </w:rPr>
      </w:pPr>
    </w:p>
    <w:p>
      <w:pPr>
        <w:pStyle w:val="18"/>
        <w:spacing w:line="360" w:lineRule="auto"/>
        <w:ind w:left="0" w:firstLine="0" w:firstLineChars="0"/>
        <w:rPr>
          <w:rFonts w:ascii="宋体" w:hAnsi="宋体" w:cs="宋体"/>
          <w:b/>
          <w:bCs/>
          <w:color w:val="auto"/>
          <w:sz w:val="28"/>
          <w:szCs w:val="28"/>
          <w:highlight w:val="none"/>
        </w:rPr>
      </w:pPr>
    </w:p>
    <w:p>
      <w:pPr>
        <w:rPr>
          <w:rFonts w:ascii="宋体" w:hAnsi="宋体" w:cs="宋体"/>
          <w:b/>
          <w:bCs/>
          <w:color w:val="auto"/>
          <w:sz w:val="24"/>
          <w:highlight w:val="none"/>
        </w:rPr>
      </w:pPr>
      <w:r>
        <w:rPr>
          <w:rFonts w:hint="eastAsia" w:ascii="宋体" w:hAnsi="宋体" w:cs="宋体"/>
          <w:b/>
          <w:bCs/>
          <w:color w:val="auto"/>
          <w:sz w:val="22"/>
          <w:szCs w:val="22"/>
          <w:highlight w:val="none"/>
        </w:rPr>
        <w:br w:type="page"/>
      </w:r>
      <w:r>
        <w:rPr>
          <w:rFonts w:hint="eastAsia" w:ascii="宋体" w:hAnsi="宋体" w:cs="宋体"/>
          <w:b/>
          <w:bCs/>
          <w:color w:val="auto"/>
          <w:sz w:val="24"/>
          <w:highlight w:val="none"/>
        </w:rPr>
        <w:t>附件四  项目服务人员一览表</w:t>
      </w:r>
    </w:p>
    <w:p>
      <w:pPr>
        <w:spacing w:before="12"/>
        <w:rPr>
          <w:rFonts w:ascii="宋体" w:hAnsi="宋体" w:cs="宋体"/>
          <w:color w:val="auto"/>
          <w:sz w:val="24"/>
          <w:highlight w:val="none"/>
        </w:rPr>
      </w:pPr>
    </w:p>
    <w:p>
      <w:pPr>
        <w:ind w:right="-10" w:firstLine="2530" w:firstLineChars="900"/>
        <w:rPr>
          <w:rFonts w:ascii="宋体" w:hAnsi="宋体" w:cs="宋体"/>
          <w:b/>
          <w:bCs/>
          <w:snapToGrid w:val="0"/>
          <w:color w:val="auto"/>
          <w:kern w:val="0"/>
          <w:sz w:val="28"/>
          <w:highlight w:val="none"/>
        </w:rPr>
      </w:pPr>
      <w:r>
        <w:rPr>
          <w:rFonts w:hint="eastAsia" w:ascii="宋体" w:hAnsi="宋体" w:cs="宋体"/>
          <w:b/>
          <w:bCs/>
          <w:snapToGrid w:val="0"/>
          <w:color w:val="auto"/>
          <w:kern w:val="0"/>
          <w:sz w:val="28"/>
          <w:highlight w:val="none"/>
        </w:rPr>
        <w:t>（1）项目负责人资格情况表</w:t>
      </w:r>
    </w:p>
    <w:p>
      <w:pPr>
        <w:rPr>
          <w:rFonts w:ascii="宋体" w:hAnsi="宋体" w:cs="宋体"/>
          <w:b/>
          <w:snapToGrid w:val="0"/>
          <w:color w:val="auto"/>
          <w:kern w:val="0"/>
          <w:sz w:val="22"/>
          <w:szCs w:val="22"/>
          <w:highlight w:val="none"/>
        </w:rPr>
      </w:pPr>
    </w:p>
    <w:p>
      <w:pPr>
        <w:rPr>
          <w:rFonts w:ascii="宋体" w:hAnsi="宋体" w:cs="宋体"/>
          <w:snapToGrid w:val="0"/>
          <w:color w:val="auto"/>
          <w:kern w:val="0"/>
          <w:sz w:val="22"/>
          <w:szCs w:val="22"/>
          <w:highlight w:val="none"/>
        </w:rPr>
      </w:pPr>
      <w:r>
        <w:rPr>
          <w:rFonts w:hint="eastAsia" w:ascii="宋体" w:hAnsi="宋体" w:cs="宋体"/>
          <w:snapToGrid w:val="0"/>
          <w:color w:val="auto"/>
          <w:kern w:val="0"/>
          <w:sz w:val="22"/>
          <w:szCs w:val="22"/>
          <w:highlight w:val="none"/>
        </w:rPr>
        <w:t>项目名称：                                                   项目编号：</w:t>
      </w:r>
    </w:p>
    <w:tbl>
      <w:tblPr>
        <w:tblStyle w:val="27"/>
        <w:tblW w:w="9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833"/>
        <w:gridCol w:w="1333"/>
        <w:gridCol w:w="1842"/>
        <w:gridCol w:w="1387"/>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1165" w:type="dxa"/>
            <w:vAlign w:val="center"/>
          </w:tcPr>
          <w:p>
            <w:pPr>
              <w:tabs>
                <w:tab w:val="left" w:pos="1620"/>
              </w:tabs>
              <w:spacing w:line="4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姓  名</w:t>
            </w:r>
          </w:p>
        </w:tc>
        <w:tc>
          <w:tcPr>
            <w:tcW w:w="1833" w:type="dxa"/>
            <w:vAlign w:val="center"/>
          </w:tcPr>
          <w:p>
            <w:pPr>
              <w:tabs>
                <w:tab w:val="left" w:pos="1620"/>
              </w:tabs>
              <w:spacing w:line="440" w:lineRule="exact"/>
              <w:jc w:val="center"/>
              <w:rPr>
                <w:rFonts w:ascii="宋体" w:hAnsi="宋体" w:cs="宋体"/>
                <w:color w:val="auto"/>
                <w:sz w:val="22"/>
                <w:szCs w:val="22"/>
                <w:highlight w:val="none"/>
              </w:rPr>
            </w:pPr>
          </w:p>
        </w:tc>
        <w:tc>
          <w:tcPr>
            <w:tcW w:w="1333" w:type="dxa"/>
            <w:vAlign w:val="center"/>
          </w:tcPr>
          <w:p>
            <w:pPr>
              <w:tabs>
                <w:tab w:val="left" w:pos="1620"/>
              </w:tabs>
              <w:spacing w:line="4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性  别</w:t>
            </w:r>
          </w:p>
        </w:tc>
        <w:tc>
          <w:tcPr>
            <w:tcW w:w="1842" w:type="dxa"/>
            <w:vAlign w:val="center"/>
          </w:tcPr>
          <w:p>
            <w:pPr>
              <w:tabs>
                <w:tab w:val="left" w:pos="1620"/>
              </w:tabs>
              <w:spacing w:line="440" w:lineRule="exact"/>
              <w:jc w:val="center"/>
              <w:rPr>
                <w:rFonts w:ascii="宋体" w:hAnsi="宋体" w:cs="宋体"/>
                <w:color w:val="auto"/>
                <w:sz w:val="22"/>
                <w:szCs w:val="22"/>
                <w:highlight w:val="none"/>
              </w:rPr>
            </w:pPr>
          </w:p>
        </w:tc>
        <w:tc>
          <w:tcPr>
            <w:tcW w:w="1387" w:type="dxa"/>
            <w:vAlign w:val="center"/>
          </w:tcPr>
          <w:p>
            <w:pPr>
              <w:tabs>
                <w:tab w:val="left" w:pos="1620"/>
              </w:tabs>
              <w:spacing w:line="4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年 龄</w:t>
            </w:r>
          </w:p>
        </w:tc>
        <w:tc>
          <w:tcPr>
            <w:tcW w:w="2101" w:type="dxa"/>
            <w:vAlign w:val="center"/>
          </w:tcPr>
          <w:p>
            <w:pPr>
              <w:tabs>
                <w:tab w:val="left" w:pos="1620"/>
              </w:tabs>
              <w:spacing w:line="4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165" w:type="dxa"/>
            <w:vAlign w:val="center"/>
          </w:tcPr>
          <w:p>
            <w:pPr>
              <w:tabs>
                <w:tab w:val="left" w:pos="1620"/>
              </w:tabs>
              <w:spacing w:line="4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学 历</w:t>
            </w:r>
          </w:p>
        </w:tc>
        <w:tc>
          <w:tcPr>
            <w:tcW w:w="1833" w:type="dxa"/>
            <w:vAlign w:val="center"/>
          </w:tcPr>
          <w:p>
            <w:pPr>
              <w:tabs>
                <w:tab w:val="left" w:pos="1620"/>
              </w:tabs>
              <w:spacing w:line="440" w:lineRule="exact"/>
              <w:jc w:val="center"/>
              <w:rPr>
                <w:rFonts w:ascii="宋体" w:hAnsi="宋体" w:cs="宋体"/>
                <w:color w:val="auto"/>
                <w:sz w:val="22"/>
                <w:szCs w:val="22"/>
                <w:highlight w:val="none"/>
              </w:rPr>
            </w:pPr>
          </w:p>
        </w:tc>
        <w:tc>
          <w:tcPr>
            <w:tcW w:w="1333" w:type="dxa"/>
            <w:vAlign w:val="center"/>
          </w:tcPr>
          <w:p>
            <w:pPr>
              <w:tabs>
                <w:tab w:val="left" w:pos="1620"/>
              </w:tabs>
              <w:spacing w:line="4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专业</w:t>
            </w:r>
          </w:p>
        </w:tc>
        <w:tc>
          <w:tcPr>
            <w:tcW w:w="1842" w:type="dxa"/>
            <w:vAlign w:val="center"/>
          </w:tcPr>
          <w:p>
            <w:pPr>
              <w:tabs>
                <w:tab w:val="left" w:pos="1620"/>
              </w:tabs>
              <w:spacing w:line="440" w:lineRule="exact"/>
              <w:jc w:val="center"/>
              <w:rPr>
                <w:rFonts w:ascii="宋体" w:hAnsi="宋体" w:cs="宋体"/>
                <w:color w:val="auto"/>
                <w:sz w:val="22"/>
                <w:szCs w:val="22"/>
                <w:highlight w:val="none"/>
              </w:rPr>
            </w:pPr>
          </w:p>
        </w:tc>
        <w:tc>
          <w:tcPr>
            <w:tcW w:w="1387" w:type="dxa"/>
            <w:vAlign w:val="center"/>
          </w:tcPr>
          <w:p>
            <w:pPr>
              <w:tabs>
                <w:tab w:val="left" w:pos="1620"/>
              </w:tabs>
              <w:spacing w:line="4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职称/资格</w:t>
            </w:r>
          </w:p>
        </w:tc>
        <w:tc>
          <w:tcPr>
            <w:tcW w:w="2101" w:type="dxa"/>
            <w:vAlign w:val="center"/>
          </w:tcPr>
          <w:p>
            <w:pPr>
              <w:tabs>
                <w:tab w:val="left" w:pos="1620"/>
              </w:tabs>
              <w:spacing w:line="4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165" w:type="dxa"/>
            <w:vAlign w:val="center"/>
          </w:tcPr>
          <w:p>
            <w:pPr>
              <w:tabs>
                <w:tab w:val="left" w:pos="1620"/>
              </w:tabs>
              <w:spacing w:line="4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曾获荣誉</w:t>
            </w:r>
          </w:p>
        </w:tc>
        <w:tc>
          <w:tcPr>
            <w:tcW w:w="5008" w:type="dxa"/>
            <w:gridSpan w:val="3"/>
            <w:vAlign w:val="center"/>
          </w:tcPr>
          <w:p>
            <w:pPr>
              <w:tabs>
                <w:tab w:val="left" w:pos="1620"/>
              </w:tabs>
              <w:spacing w:line="440" w:lineRule="exact"/>
              <w:jc w:val="center"/>
              <w:rPr>
                <w:rFonts w:ascii="宋体" w:hAnsi="宋体" w:cs="宋体"/>
                <w:color w:val="auto"/>
                <w:sz w:val="22"/>
                <w:szCs w:val="22"/>
                <w:highlight w:val="none"/>
              </w:rPr>
            </w:pPr>
          </w:p>
        </w:tc>
        <w:tc>
          <w:tcPr>
            <w:tcW w:w="1387" w:type="dxa"/>
            <w:vAlign w:val="center"/>
          </w:tcPr>
          <w:p>
            <w:pPr>
              <w:tabs>
                <w:tab w:val="left" w:pos="1620"/>
              </w:tabs>
              <w:spacing w:line="4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联系方式</w:t>
            </w:r>
          </w:p>
        </w:tc>
        <w:tc>
          <w:tcPr>
            <w:tcW w:w="2101" w:type="dxa"/>
            <w:vAlign w:val="center"/>
          </w:tcPr>
          <w:p>
            <w:pPr>
              <w:tabs>
                <w:tab w:val="left" w:pos="1620"/>
              </w:tabs>
              <w:spacing w:line="44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2" w:hRule="atLeast"/>
          <w:jc w:val="center"/>
        </w:trPr>
        <w:tc>
          <w:tcPr>
            <w:tcW w:w="9661" w:type="dxa"/>
            <w:gridSpan w:val="6"/>
          </w:tcPr>
          <w:p>
            <w:pPr>
              <w:tabs>
                <w:tab w:val="left" w:pos="1620"/>
              </w:tabs>
              <w:spacing w:before="120" w:beforeLines="50" w:line="440" w:lineRule="exact"/>
              <w:rPr>
                <w:rFonts w:ascii="宋体" w:hAnsi="宋体" w:cs="宋体"/>
                <w:color w:val="auto"/>
                <w:sz w:val="22"/>
                <w:szCs w:val="22"/>
                <w:highlight w:val="none"/>
              </w:rPr>
            </w:pPr>
            <w:r>
              <w:rPr>
                <w:rFonts w:hint="eastAsia" w:ascii="宋体" w:hAnsi="宋体" w:cs="宋体"/>
                <w:color w:val="auto"/>
                <w:sz w:val="22"/>
                <w:szCs w:val="22"/>
                <w:highlight w:val="none"/>
              </w:rPr>
              <w:t>近五年从事相关工作经历及业绩：</w:t>
            </w:r>
          </w:p>
        </w:tc>
      </w:tr>
    </w:tbl>
    <w:p>
      <w:pPr>
        <w:pStyle w:val="12"/>
        <w:spacing w:line="400" w:lineRule="exact"/>
        <w:ind w:firstLine="0"/>
        <w:jc w:val="left"/>
        <w:rPr>
          <w:rFonts w:ascii="宋体" w:hAnsi="宋体" w:eastAsia="宋体" w:cs="宋体"/>
          <w:snapToGrid w:val="0"/>
          <w:color w:val="auto"/>
          <w:sz w:val="22"/>
          <w:szCs w:val="22"/>
          <w:highlight w:val="none"/>
        </w:rPr>
      </w:pPr>
      <w:r>
        <w:rPr>
          <w:rFonts w:hint="eastAsia" w:ascii="宋体" w:hAnsi="宋体" w:cs="宋体"/>
          <w:b/>
          <w:snapToGrid w:val="0"/>
          <w:color w:val="auto"/>
          <w:sz w:val="22"/>
          <w:szCs w:val="22"/>
          <w:highlight w:val="none"/>
        </w:rPr>
        <w:t>注：</w:t>
      </w:r>
      <w:r>
        <w:rPr>
          <w:rFonts w:hint="eastAsia" w:ascii="宋体" w:hAnsi="宋体" w:eastAsia="宋体" w:cs="宋体"/>
          <w:b/>
          <w:snapToGrid w:val="0"/>
          <w:color w:val="auto"/>
          <w:szCs w:val="21"/>
          <w:highlight w:val="none"/>
        </w:rPr>
        <w:t>提供相关荣誉证书并</w:t>
      </w:r>
      <w:r>
        <w:rPr>
          <w:rFonts w:hint="eastAsia" w:ascii="宋体" w:hAnsi="宋体" w:eastAsia="宋体" w:cs="宋体"/>
          <w:b/>
          <w:snapToGrid w:val="0"/>
          <w:color w:val="auto"/>
          <w:highlight w:val="none"/>
        </w:rPr>
        <w:t>提供人员保安证书及近半年内连续三个月的社保缴纳证明（复印件加盖公章）。</w:t>
      </w:r>
    </w:p>
    <w:p>
      <w:pPr>
        <w:pStyle w:val="10"/>
        <w:spacing w:before="117"/>
        <w:ind w:left="3791" w:leftChars="1800" w:right="277" w:rightChars="132" w:hanging="11"/>
        <w:rPr>
          <w:rFonts w:ascii="宋体" w:hAnsi="宋体" w:eastAsia="宋体" w:cs="宋体"/>
          <w:color w:val="auto"/>
          <w:sz w:val="24"/>
          <w:highlight w:val="none"/>
          <w:u w:val="single"/>
        </w:rPr>
      </w:pPr>
      <w:r>
        <w:rPr>
          <w:rFonts w:hint="eastAsia" w:ascii="宋体" w:hAnsi="宋体" w:eastAsia="宋体" w:cs="宋体"/>
          <w:color w:val="auto"/>
          <w:sz w:val="24"/>
          <w:highlight w:val="none"/>
        </w:rPr>
        <w:t>投标人全称（盖章）：</w:t>
      </w:r>
      <w:r>
        <w:rPr>
          <w:rFonts w:hint="eastAsia" w:ascii="宋体" w:hAnsi="宋体" w:eastAsia="宋体" w:cs="宋体"/>
          <w:color w:val="auto"/>
          <w:sz w:val="24"/>
          <w:highlight w:val="none"/>
          <w:u w:val="single"/>
        </w:rPr>
        <w:t xml:space="preserve">                           </w:t>
      </w:r>
    </w:p>
    <w:p>
      <w:pPr>
        <w:pStyle w:val="10"/>
        <w:tabs>
          <w:tab w:val="left" w:pos="8209"/>
          <w:tab w:val="left" w:pos="8742"/>
          <w:tab w:val="left" w:pos="9169"/>
          <w:tab w:val="left" w:pos="10120"/>
        </w:tabs>
        <w:spacing w:before="132" w:line="364" w:lineRule="auto"/>
        <w:ind w:left="3791" w:leftChars="1800" w:right="277" w:rightChars="132" w:hanging="11"/>
        <w:rPr>
          <w:rFonts w:ascii="宋体" w:hAnsi="宋体" w:eastAsia="宋体" w:cs="宋体"/>
          <w:b/>
          <w:bCs/>
          <w:color w:val="auto"/>
          <w:sz w:val="28"/>
          <w:szCs w:val="28"/>
          <w:highlight w:val="none"/>
        </w:rPr>
      </w:pPr>
      <w:r>
        <w:rPr>
          <w:rFonts w:hint="eastAsia" w:ascii="宋体" w:hAnsi="宋体" w:eastAsia="宋体" w:cs="宋体"/>
          <w:color w:val="auto"/>
          <w:sz w:val="24"/>
          <w:highlight w:val="none"/>
        </w:rPr>
        <w:t>法定代表人或授权代表（签字或盖章）：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  期：</w:t>
      </w:r>
    </w:p>
    <w:p>
      <w:pPr>
        <w:pStyle w:val="5"/>
        <w:rPr>
          <w:rFonts w:ascii="宋体" w:hAnsi="宋体" w:eastAsia="宋体" w:cs="宋体"/>
          <w:b/>
          <w:bCs/>
          <w:color w:val="auto"/>
          <w:sz w:val="28"/>
          <w:szCs w:val="28"/>
          <w:highlight w:val="none"/>
        </w:rPr>
      </w:pPr>
    </w:p>
    <w:p>
      <w:pPr>
        <w:pStyle w:val="5"/>
        <w:ind w:left="112"/>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w:t>
      </w:r>
      <w:r>
        <w:rPr>
          <w:rFonts w:hint="eastAsia" w:ascii="宋体" w:hAnsi="宋体" w:cs="宋体"/>
          <w:b/>
          <w:bCs/>
          <w:color w:val="auto"/>
          <w:sz w:val="28"/>
          <w:szCs w:val="28"/>
          <w:highlight w:val="none"/>
        </w:rPr>
        <w:t>项目服务人员名单</w:t>
      </w:r>
    </w:p>
    <w:p>
      <w:pPr>
        <w:rPr>
          <w:rFonts w:ascii="宋体" w:hAnsi="宋体" w:cs="宋体"/>
          <w:color w:val="auto"/>
          <w:sz w:val="24"/>
          <w:highlight w:val="none"/>
        </w:rPr>
        <w:sectPr>
          <w:pgSz w:w="11900" w:h="16838"/>
          <w:pgMar w:top="1440" w:right="1474" w:bottom="1440" w:left="1474" w:header="737" w:footer="737" w:gutter="0"/>
          <w:pgBorders>
            <w:top w:val="none" w:sz="0" w:space="0"/>
            <w:left w:val="none" w:sz="0" w:space="0"/>
            <w:bottom w:val="none" w:sz="0" w:space="0"/>
            <w:right w:val="none" w:sz="0" w:space="0"/>
          </w:pgBorders>
          <w:pgNumType w:fmt="numberInDash"/>
          <w:cols w:space="720" w:num="1"/>
          <w:docGrid w:linePitch="1" w:charSpace="0"/>
        </w:sectPr>
      </w:pPr>
    </w:p>
    <w:p>
      <w:pPr>
        <w:spacing w:before="2"/>
        <w:rPr>
          <w:rFonts w:ascii="宋体" w:hAnsi="宋体" w:cs="宋体"/>
          <w:color w:val="auto"/>
          <w:sz w:val="24"/>
          <w:highlight w:val="none"/>
        </w:rPr>
      </w:pPr>
    </w:p>
    <w:p>
      <w:pPr>
        <w:pStyle w:val="10"/>
        <w:tabs>
          <w:tab w:val="left" w:pos="5639"/>
        </w:tabs>
        <w:rPr>
          <w:rFonts w:ascii="宋体" w:hAnsi="宋体" w:eastAsia="宋体" w:cs="宋体"/>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项目编号：</w:t>
      </w:r>
    </w:p>
    <w:tbl>
      <w:tblPr>
        <w:tblStyle w:val="27"/>
        <w:tblW w:w="9511"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126"/>
        <w:gridCol w:w="690"/>
        <w:gridCol w:w="690"/>
        <w:gridCol w:w="750"/>
        <w:gridCol w:w="810"/>
        <w:gridCol w:w="870"/>
        <w:gridCol w:w="1304"/>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245" w:type="dxa"/>
            <w:tcBorders>
              <w:top w:val="single" w:color="auto" w:sz="12" w:space="0"/>
              <w:left w:val="single" w:color="auto" w:sz="12" w:space="0"/>
              <w:bottom w:val="single" w:color="auto" w:sz="12" w:space="0"/>
            </w:tcBorders>
            <w:vAlign w:val="center"/>
          </w:tcPr>
          <w:p>
            <w:pPr>
              <w:jc w:val="center"/>
              <w:rPr>
                <w:rFonts w:ascii="宋体" w:hAnsi="宋体" w:cs="Arial"/>
                <w:b/>
                <w:bCs/>
                <w:color w:val="auto"/>
                <w:highlight w:val="none"/>
              </w:rPr>
            </w:pPr>
            <w:r>
              <w:rPr>
                <w:rFonts w:ascii="宋体" w:hAnsi="宋体" w:cs="Arial"/>
                <w:b/>
                <w:bCs/>
                <w:color w:val="auto"/>
                <w:highlight w:val="none"/>
              </w:rPr>
              <w:t>姓名</w:t>
            </w:r>
          </w:p>
        </w:tc>
        <w:tc>
          <w:tcPr>
            <w:tcW w:w="1126" w:type="dxa"/>
            <w:tcBorders>
              <w:top w:val="single" w:color="auto" w:sz="12" w:space="0"/>
              <w:bottom w:val="single" w:color="auto" w:sz="12" w:space="0"/>
            </w:tcBorders>
            <w:vAlign w:val="center"/>
          </w:tcPr>
          <w:p>
            <w:pPr>
              <w:jc w:val="center"/>
              <w:rPr>
                <w:rFonts w:ascii="宋体" w:hAnsi="宋体" w:cs="Arial"/>
                <w:b/>
                <w:bCs/>
                <w:color w:val="auto"/>
                <w:highlight w:val="none"/>
              </w:rPr>
            </w:pPr>
            <w:r>
              <w:rPr>
                <w:rFonts w:ascii="宋体" w:hAnsi="宋体" w:cs="Arial"/>
                <w:b/>
                <w:bCs/>
                <w:color w:val="auto"/>
                <w:highlight w:val="none"/>
              </w:rPr>
              <w:t>本项目主要工作</w:t>
            </w:r>
          </w:p>
        </w:tc>
        <w:tc>
          <w:tcPr>
            <w:tcW w:w="690" w:type="dxa"/>
            <w:tcBorders>
              <w:top w:val="single" w:color="auto" w:sz="12" w:space="0"/>
              <w:bottom w:val="single" w:color="auto" w:sz="12" w:space="0"/>
            </w:tcBorders>
            <w:vAlign w:val="center"/>
          </w:tcPr>
          <w:p>
            <w:pPr>
              <w:jc w:val="center"/>
              <w:rPr>
                <w:rFonts w:ascii="宋体" w:hAnsi="宋体" w:cs="Arial"/>
                <w:b/>
                <w:bCs/>
                <w:color w:val="auto"/>
                <w:highlight w:val="none"/>
              </w:rPr>
            </w:pPr>
            <w:r>
              <w:rPr>
                <w:rFonts w:ascii="宋体" w:hAnsi="宋体" w:cs="Arial"/>
                <w:b/>
                <w:bCs/>
                <w:color w:val="auto"/>
                <w:highlight w:val="none"/>
              </w:rPr>
              <w:t>年龄</w:t>
            </w:r>
          </w:p>
        </w:tc>
        <w:tc>
          <w:tcPr>
            <w:tcW w:w="690" w:type="dxa"/>
            <w:tcBorders>
              <w:top w:val="single" w:color="auto" w:sz="12" w:space="0"/>
              <w:bottom w:val="single" w:color="auto" w:sz="12" w:space="0"/>
            </w:tcBorders>
            <w:vAlign w:val="center"/>
          </w:tcPr>
          <w:p>
            <w:pPr>
              <w:jc w:val="center"/>
              <w:rPr>
                <w:rFonts w:ascii="宋体" w:hAnsi="宋体" w:cs="Arial"/>
                <w:b/>
                <w:bCs/>
                <w:color w:val="auto"/>
                <w:highlight w:val="none"/>
              </w:rPr>
            </w:pPr>
            <w:r>
              <w:rPr>
                <w:rFonts w:ascii="宋体" w:hAnsi="宋体" w:cs="Arial"/>
                <w:b/>
                <w:bCs/>
                <w:color w:val="auto"/>
                <w:highlight w:val="none"/>
              </w:rPr>
              <w:t>性别</w:t>
            </w:r>
          </w:p>
        </w:tc>
        <w:tc>
          <w:tcPr>
            <w:tcW w:w="750" w:type="dxa"/>
            <w:tcBorders>
              <w:top w:val="single" w:color="auto" w:sz="12" w:space="0"/>
              <w:bottom w:val="single" w:color="auto" w:sz="12" w:space="0"/>
              <w:right w:val="single" w:color="auto" w:sz="4" w:space="0"/>
            </w:tcBorders>
            <w:vAlign w:val="center"/>
          </w:tcPr>
          <w:p>
            <w:pPr>
              <w:jc w:val="center"/>
              <w:rPr>
                <w:rFonts w:ascii="宋体" w:hAnsi="宋体" w:cs="Arial"/>
                <w:b/>
                <w:bCs/>
                <w:color w:val="auto"/>
                <w:highlight w:val="none"/>
              </w:rPr>
            </w:pPr>
            <w:r>
              <w:rPr>
                <w:rFonts w:ascii="宋体" w:hAnsi="宋体" w:cs="Arial"/>
                <w:b/>
                <w:bCs/>
                <w:color w:val="auto"/>
                <w:highlight w:val="none"/>
              </w:rPr>
              <w:t>职称/职务</w:t>
            </w:r>
          </w:p>
        </w:tc>
        <w:tc>
          <w:tcPr>
            <w:tcW w:w="810" w:type="dxa"/>
            <w:tcBorders>
              <w:top w:val="single" w:color="auto" w:sz="12" w:space="0"/>
              <w:left w:val="single" w:color="auto" w:sz="4" w:space="0"/>
              <w:bottom w:val="single" w:color="auto" w:sz="12" w:space="0"/>
            </w:tcBorders>
            <w:vAlign w:val="center"/>
          </w:tcPr>
          <w:p>
            <w:pPr>
              <w:jc w:val="center"/>
              <w:rPr>
                <w:rFonts w:ascii="宋体" w:hAnsi="宋体" w:cs="Arial"/>
                <w:b/>
                <w:bCs/>
                <w:color w:val="auto"/>
                <w:highlight w:val="none"/>
              </w:rPr>
            </w:pPr>
            <w:r>
              <w:rPr>
                <w:rFonts w:ascii="宋体" w:hAnsi="宋体" w:cs="Arial"/>
                <w:b/>
                <w:bCs/>
                <w:color w:val="auto"/>
                <w:highlight w:val="none"/>
              </w:rPr>
              <w:t>专业/</w:t>
            </w:r>
          </w:p>
          <w:p>
            <w:pPr>
              <w:jc w:val="center"/>
              <w:rPr>
                <w:rFonts w:ascii="宋体" w:hAnsi="宋体" w:cs="Arial"/>
                <w:b/>
                <w:bCs/>
                <w:color w:val="auto"/>
                <w:highlight w:val="none"/>
              </w:rPr>
            </w:pPr>
            <w:r>
              <w:rPr>
                <w:rFonts w:ascii="宋体" w:hAnsi="宋体" w:cs="Arial"/>
                <w:b/>
                <w:bCs/>
                <w:color w:val="auto"/>
                <w:highlight w:val="none"/>
              </w:rPr>
              <w:t>年限</w:t>
            </w:r>
          </w:p>
        </w:tc>
        <w:tc>
          <w:tcPr>
            <w:tcW w:w="870" w:type="dxa"/>
            <w:tcBorders>
              <w:top w:val="single" w:color="auto" w:sz="12" w:space="0"/>
              <w:bottom w:val="single" w:color="auto" w:sz="12" w:space="0"/>
            </w:tcBorders>
            <w:vAlign w:val="center"/>
          </w:tcPr>
          <w:p>
            <w:pPr>
              <w:jc w:val="center"/>
              <w:rPr>
                <w:rFonts w:ascii="宋体" w:hAnsi="宋体" w:cs="Arial"/>
                <w:b/>
                <w:bCs/>
                <w:color w:val="auto"/>
                <w:highlight w:val="none"/>
              </w:rPr>
            </w:pPr>
            <w:r>
              <w:rPr>
                <w:rFonts w:ascii="宋体" w:hAnsi="宋体" w:cs="Arial"/>
                <w:b/>
                <w:bCs/>
                <w:color w:val="auto"/>
                <w:highlight w:val="none"/>
              </w:rPr>
              <w:t>承诺</w:t>
            </w:r>
          </w:p>
          <w:p>
            <w:pPr>
              <w:jc w:val="center"/>
              <w:rPr>
                <w:rFonts w:ascii="宋体" w:hAnsi="宋体" w:cs="Arial"/>
                <w:b/>
                <w:bCs/>
                <w:color w:val="auto"/>
                <w:highlight w:val="none"/>
              </w:rPr>
            </w:pPr>
            <w:r>
              <w:rPr>
                <w:rFonts w:ascii="宋体" w:hAnsi="宋体" w:cs="Arial"/>
                <w:b/>
                <w:bCs/>
                <w:color w:val="auto"/>
                <w:highlight w:val="none"/>
              </w:rPr>
              <w:t>到位率</w:t>
            </w:r>
          </w:p>
        </w:tc>
        <w:tc>
          <w:tcPr>
            <w:tcW w:w="1304" w:type="dxa"/>
            <w:tcBorders>
              <w:top w:val="single" w:color="auto" w:sz="12" w:space="0"/>
              <w:bottom w:val="single" w:color="auto" w:sz="12" w:space="0"/>
            </w:tcBorders>
            <w:vAlign w:val="center"/>
          </w:tcPr>
          <w:p>
            <w:pPr>
              <w:jc w:val="center"/>
              <w:rPr>
                <w:rFonts w:ascii="宋体" w:hAnsi="宋体" w:cs="Arial"/>
                <w:b/>
                <w:bCs/>
                <w:color w:val="auto"/>
                <w:highlight w:val="none"/>
              </w:rPr>
            </w:pPr>
            <w:r>
              <w:rPr>
                <w:rFonts w:ascii="宋体" w:hAnsi="宋体" w:cs="Arial"/>
                <w:b/>
                <w:bCs/>
                <w:color w:val="auto"/>
                <w:highlight w:val="none"/>
              </w:rPr>
              <w:t>到现场服务起止时间</w:t>
            </w:r>
          </w:p>
        </w:tc>
        <w:tc>
          <w:tcPr>
            <w:tcW w:w="2026" w:type="dxa"/>
            <w:tcBorders>
              <w:top w:val="single" w:color="auto" w:sz="12" w:space="0"/>
              <w:bottom w:val="single" w:color="auto" w:sz="12" w:space="0"/>
              <w:right w:val="single" w:color="auto" w:sz="12" w:space="0"/>
            </w:tcBorders>
            <w:vAlign w:val="center"/>
          </w:tcPr>
          <w:p>
            <w:pPr>
              <w:jc w:val="center"/>
              <w:rPr>
                <w:rFonts w:ascii="宋体" w:hAnsi="宋体" w:cs="Arial"/>
                <w:b/>
                <w:bCs/>
                <w:color w:val="auto"/>
                <w:highlight w:val="none"/>
              </w:rPr>
            </w:pPr>
            <w:r>
              <w:rPr>
                <w:rFonts w:ascii="宋体" w:hAnsi="宋体" w:cs="Arial"/>
                <w:b/>
                <w:bCs/>
                <w:color w:val="auto"/>
                <w:highlight w:val="none"/>
              </w:rPr>
              <w:t>类似服务的经历、业绩、是否有上岗证等介绍（或另附简历）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45" w:type="dxa"/>
            <w:tcBorders>
              <w:top w:val="single" w:color="auto" w:sz="12" w:space="0"/>
              <w:left w:val="single" w:color="auto" w:sz="12" w:space="0"/>
            </w:tcBorders>
            <w:vAlign w:val="center"/>
          </w:tcPr>
          <w:p>
            <w:pPr>
              <w:spacing w:line="360" w:lineRule="auto"/>
              <w:rPr>
                <w:rFonts w:ascii="宋体" w:hAnsi="宋体" w:cs="Arial"/>
                <w:color w:val="auto"/>
                <w:sz w:val="24"/>
                <w:highlight w:val="none"/>
              </w:rPr>
            </w:pPr>
          </w:p>
        </w:tc>
        <w:tc>
          <w:tcPr>
            <w:tcW w:w="1126" w:type="dxa"/>
            <w:tcBorders>
              <w:top w:val="single" w:color="auto" w:sz="12" w:space="0"/>
            </w:tcBorders>
            <w:vAlign w:val="center"/>
          </w:tcPr>
          <w:p>
            <w:pPr>
              <w:pStyle w:val="42"/>
              <w:widowControl w:val="0"/>
              <w:pBdr>
                <w:left w:val="none" w:color="auto" w:sz="0" w:space="0"/>
                <w:bottom w:val="none" w:color="auto" w:sz="0" w:space="0"/>
                <w:right w:val="none" w:color="auto" w:sz="0" w:space="0"/>
              </w:pBdr>
              <w:spacing w:before="0" w:beforeAutospacing="0" w:after="0" w:afterAutospacing="0" w:line="360" w:lineRule="auto"/>
              <w:textAlignment w:val="auto"/>
              <w:rPr>
                <w:rFonts w:ascii="宋体" w:hAnsi="宋体" w:eastAsia="宋体" w:cs="Arial"/>
                <w:color w:val="auto"/>
                <w:kern w:val="2"/>
                <w:highlight w:val="none"/>
              </w:rPr>
            </w:pPr>
          </w:p>
        </w:tc>
        <w:tc>
          <w:tcPr>
            <w:tcW w:w="690" w:type="dxa"/>
            <w:tcBorders>
              <w:top w:val="single" w:color="auto" w:sz="12" w:space="0"/>
            </w:tcBorders>
            <w:vAlign w:val="center"/>
          </w:tcPr>
          <w:p>
            <w:pPr>
              <w:spacing w:line="360" w:lineRule="auto"/>
              <w:rPr>
                <w:rFonts w:ascii="宋体" w:hAnsi="宋体" w:cs="Arial"/>
                <w:color w:val="auto"/>
                <w:sz w:val="24"/>
                <w:highlight w:val="none"/>
              </w:rPr>
            </w:pPr>
          </w:p>
        </w:tc>
        <w:tc>
          <w:tcPr>
            <w:tcW w:w="690" w:type="dxa"/>
            <w:tcBorders>
              <w:top w:val="single" w:color="auto" w:sz="12" w:space="0"/>
            </w:tcBorders>
            <w:vAlign w:val="center"/>
          </w:tcPr>
          <w:p>
            <w:pPr>
              <w:spacing w:line="360" w:lineRule="auto"/>
              <w:rPr>
                <w:rFonts w:ascii="宋体" w:hAnsi="宋体" w:cs="Arial"/>
                <w:color w:val="auto"/>
                <w:sz w:val="24"/>
                <w:highlight w:val="none"/>
              </w:rPr>
            </w:pPr>
          </w:p>
        </w:tc>
        <w:tc>
          <w:tcPr>
            <w:tcW w:w="750" w:type="dxa"/>
            <w:tcBorders>
              <w:top w:val="single" w:color="auto" w:sz="12" w:space="0"/>
              <w:right w:val="single" w:color="auto" w:sz="4" w:space="0"/>
            </w:tcBorders>
            <w:vAlign w:val="center"/>
          </w:tcPr>
          <w:p>
            <w:pPr>
              <w:spacing w:line="360" w:lineRule="auto"/>
              <w:rPr>
                <w:rFonts w:ascii="宋体" w:hAnsi="宋体" w:cs="Arial"/>
                <w:color w:val="auto"/>
                <w:sz w:val="24"/>
                <w:highlight w:val="none"/>
              </w:rPr>
            </w:pPr>
          </w:p>
        </w:tc>
        <w:tc>
          <w:tcPr>
            <w:tcW w:w="810" w:type="dxa"/>
            <w:tcBorders>
              <w:top w:val="single" w:color="auto" w:sz="12" w:space="0"/>
              <w:left w:val="single" w:color="auto" w:sz="4" w:space="0"/>
            </w:tcBorders>
            <w:vAlign w:val="center"/>
          </w:tcPr>
          <w:p>
            <w:pPr>
              <w:spacing w:line="360" w:lineRule="auto"/>
              <w:rPr>
                <w:rFonts w:ascii="宋体" w:hAnsi="宋体" w:cs="Arial"/>
                <w:color w:val="auto"/>
                <w:sz w:val="24"/>
                <w:highlight w:val="none"/>
              </w:rPr>
            </w:pPr>
          </w:p>
        </w:tc>
        <w:tc>
          <w:tcPr>
            <w:tcW w:w="870" w:type="dxa"/>
            <w:tcBorders>
              <w:top w:val="single" w:color="auto" w:sz="12" w:space="0"/>
              <w:right w:val="single" w:color="auto" w:sz="4" w:space="0"/>
            </w:tcBorders>
            <w:vAlign w:val="center"/>
          </w:tcPr>
          <w:p>
            <w:pPr>
              <w:spacing w:line="360" w:lineRule="auto"/>
              <w:rPr>
                <w:rFonts w:ascii="宋体" w:hAnsi="宋体" w:cs="Arial"/>
                <w:color w:val="auto"/>
                <w:sz w:val="24"/>
                <w:highlight w:val="none"/>
              </w:rPr>
            </w:pPr>
          </w:p>
        </w:tc>
        <w:tc>
          <w:tcPr>
            <w:tcW w:w="1304" w:type="dxa"/>
            <w:tcBorders>
              <w:top w:val="single" w:color="auto" w:sz="12" w:space="0"/>
              <w:left w:val="single" w:color="auto" w:sz="4" w:space="0"/>
              <w:right w:val="single" w:color="auto" w:sz="4" w:space="0"/>
            </w:tcBorders>
            <w:vAlign w:val="center"/>
          </w:tcPr>
          <w:p>
            <w:pPr>
              <w:spacing w:line="360" w:lineRule="auto"/>
              <w:rPr>
                <w:rFonts w:ascii="宋体" w:hAnsi="宋体" w:cs="Arial"/>
                <w:color w:val="auto"/>
                <w:sz w:val="24"/>
                <w:highlight w:val="none"/>
              </w:rPr>
            </w:pPr>
          </w:p>
        </w:tc>
        <w:tc>
          <w:tcPr>
            <w:tcW w:w="2026" w:type="dxa"/>
            <w:tcBorders>
              <w:top w:val="single" w:color="auto" w:sz="12" w:space="0"/>
              <w:left w:val="single" w:color="auto" w:sz="4" w:space="0"/>
              <w:right w:val="single" w:color="auto" w:sz="12" w:space="0"/>
            </w:tcBorders>
            <w:vAlign w:val="center"/>
          </w:tcPr>
          <w:p>
            <w:pPr>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45" w:type="dxa"/>
            <w:tcBorders>
              <w:left w:val="single" w:color="auto" w:sz="12" w:space="0"/>
            </w:tcBorders>
            <w:vAlign w:val="center"/>
          </w:tcPr>
          <w:p>
            <w:pPr>
              <w:spacing w:line="360" w:lineRule="auto"/>
              <w:rPr>
                <w:rFonts w:ascii="宋体" w:hAnsi="宋体" w:cs="Arial"/>
                <w:color w:val="auto"/>
                <w:sz w:val="24"/>
                <w:highlight w:val="none"/>
              </w:rPr>
            </w:pPr>
          </w:p>
        </w:tc>
        <w:tc>
          <w:tcPr>
            <w:tcW w:w="1126"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750" w:type="dxa"/>
            <w:tcBorders>
              <w:right w:val="single" w:color="auto" w:sz="4" w:space="0"/>
            </w:tcBorders>
            <w:vAlign w:val="center"/>
          </w:tcPr>
          <w:p>
            <w:pPr>
              <w:spacing w:line="360" w:lineRule="auto"/>
              <w:rPr>
                <w:rFonts w:ascii="宋体" w:hAnsi="宋体" w:cs="Arial"/>
                <w:color w:val="auto"/>
                <w:sz w:val="24"/>
                <w:highlight w:val="none"/>
              </w:rPr>
            </w:pPr>
          </w:p>
        </w:tc>
        <w:tc>
          <w:tcPr>
            <w:tcW w:w="810" w:type="dxa"/>
            <w:tcBorders>
              <w:left w:val="single" w:color="auto" w:sz="4" w:space="0"/>
            </w:tcBorders>
            <w:vAlign w:val="center"/>
          </w:tcPr>
          <w:p>
            <w:pPr>
              <w:spacing w:line="360" w:lineRule="auto"/>
              <w:rPr>
                <w:rFonts w:ascii="宋体" w:hAnsi="宋体" w:cs="Arial"/>
                <w:color w:val="auto"/>
                <w:sz w:val="24"/>
                <w:highlight w:val="none"/>
              </w:rPr>
            </w:pPr>
          </w:p>
        </w:tc>
        <w:tc>
          <w:tcPr>
            <w:tcW w:w="870" w:type="dxa"/>
            <w:vAlign w:val="center"/>
          </w:tcPr>
          <w:p>
            <w:pPr>
              <w:spacing w:line="360" w:lineRule="auto"/>
              <w:rPr>
                <w:rFonts w:ascii="宋体" w:hAnsi="宋体" w:cs="Arial"/>
                <w:color w:val="auto"/>
                <w:sz w:val="24"/>
                <w:highlight w:val="none"/>
              </w:rPr>
            </w:pPr>
          </w:p>
        </w:tc>
        <w:tc>
          <w:tcPr>
            <w:tcW w:w="1304" w:type="dxa"/>
            <w:vAlign w:val="center"/>
          </w:tcPr>
          <w:p>
            <w:pPr>
              <w:spacing w:line="360" w:lineRule="auto"/>
              <w:rPr>
                <w:rFonts w:ascii="宋体" w:hAnsi="宋体" w:cs="Arial"/>
                <w:color w:val="auto"/>
                <w:sz w:val="24"/>
                <w:highlight w:val="none"/>
              </w:rPr>
            </w:pPr>
          </w:p>
        </w:tc>
        <w:tc>
          <w:tcPr>
            <w:tcW w:w="2026" w:type="dxa"/>
            <w:tcBorders>
              <w:right w:val="single" w:color="auto" w:sz="12" w:space="0"/>
            </w:tcBorders>
            <w:vAlign w:val="center"/>
          </w:tcPr>
          <w:p>
            <w:pPr>
              <w:pStyle w:val="15"/>
              <w:spacing w:line="360" w:lineRule="auto"/>
              <w:ind w:left="5250"/>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45" w:type="dxa"/>
            <w:tcBorders>
              <w:left w:val="single" w:color="auto" w:sz="12" w:space="0"/>
            </w:tcBorders>
            <w:vAlign w:val="center"/>
          </w:tcPr>
          <w:p>
            <w:pPr>
              <w:spacing w:line="360" w:lineRule="auto"/>
              <w:rPr>
                <w:rFonts w:ascii="宋体" w:hAnsi="宋体" w:cs="Arial"/>
                <w:color w:val="auto"/>
                <w:sz w:val="24"/>
                <w:highlight w:val="none"/>
              </w:rPr>
            </w:pPr>
          </w:p>
        </w:tc>
        <w:tc>
          <w:tcPr>
            <w:tcW w:w="1126"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750" w:type="dxa"/>
            <w:tcBorders>
              <w:right w:val="single" w:color="auto" w:sz="4" w:space="0"/>
            </w:tcBorders>
            <w:vAlign w:val="center"/>
          </w:tcPr>
          <w:p>
            <w:pPr>
              <w:spacing w:line="360" w:lineRule="auto"/>
              <w:rPr>
                <w:rFonts w:ascii="宋体" w:hAnsi="宋体" w:cs="Arial"/>
                <w:color w:val="auto"/>
                <w:sz w:val="24"/>
                <w:highlight w:val="none"/>
              </w:rPr>
            </w:pPr>
          </w:p>
        </w:tc>
        <w:tc>
          <w:tcPr>
            <w:tcW w:w="810" w:type="dxa"/>
            <w:tcBorders>
              <w:left w:val="single" w:color="auto" w:sz="4" w:space="0"/>
            </w:tcBorders>
            <w:vAlign w:val="center"/>
          </w:tcPr>
          <w:p>
            <w:pPr>
              <w:spacing w:line="360" w:lineRule="auto"/>
              <w:rPr>
                <w:rFonts w:ascii="宋体" w:hAnsi="宋体" w:cs="Arial"/>
                <w:color w:val="auto"/>
                <w:sz w:val="24"/>
                <w:highlight w:val="none"/>
              </w:rPr>
            </w:pPr>
          </w:p>
        </w:tc>
        <w:tc>
          <w:tcPr>
            <w:tcW w:w="870" w:type="dxa"/>
            <w:vAlign w:val="center"/>
          </w:tcPr>
          <w:p>
            <w:pPr>
              <w:spacing w:line="360" w:lineRule="auto"/>
              <w:rPr>
                <w:rFonts w:ascii="宋体" w:hAnsi="宋体" w:cs="Arial"/>
                <w:color w:val="auto"/>
                <w:sz w:val="24"/>
                <w:highlight w:val="none"/>
              </w:rPr>
            </w:pPr>
          </w:p>
        </w:tc>
        <w:tc>
          <w:tcPr>
            <w:tcW w:w="1304" w:type="dxa"/>
            <w:vAlign w:val="center"/>
          </w:tcPr>
          <w:p>
            <w:pPr>
              <w:spacing w:line="360" w:lineRule="auto"/>
              <w:rPr>
                <w:rFonts w:ascii="宋体" w:hAnsi="宋体" w:cs="Arial"/>
                <w:color w:val="auto"/>
                <w:sz w:val="24"/>
                <w:highlight w:val="none"/>
              </w:rPr>
            </w:pPr>
          </w:p>
        </w:tc>
        <w:tc>
          <w:tcPr>
            <w:tcW w:w="2026" w:type="dxa"/>
            <w:tcBorders>
              <w:right w:val="single" w:color="auto" w:sz="12" w:space="0"/>
            </w:tcBorders>
            <w:vAlign w:val="center"/>
          </w:tcPr>
          <w:p>
            <w:pPr>
              <w:spacing w:line="360" w:lineRule="auto"/>
              <w:rPr>
                <w:rFonts w:ascii="宋体" w:hAnsi="宋体" w:cs="Arial"/>
                <w:color w:val="auto"/>
                <w:sz w:val="24"/>
                <w:highlight w:val="none"/>
              </w:rPr>
            </w:pPr>
          </w:p>
        </w:tc>
      </w:tr>
      <w:tr>
        <w:tblPrEx>
          <w:tblLayout w:type="fixed"/>
          <w:tblCellMar>
            <w:top w:w="0" w:type="dxa"/>
            <w:left w:w="108" w:type="dxa"/>
            <w:bottom w:w="0" w:type="dxa"/>
            <w:right w:w="108" w:type="dxa"/>
          </w:tblCellMar>
        </w:tblPrEx>
        <w:trPr>
          <w:trHeight w:val="525" w:hRule="atLeast"/>
        </w:trPr>
        <w:tc>
          <w:tcPr>
            <w:tcW w:w="1245" w:type="dxa"/>
            <w:tcBorders>
              <w:left w:val="single" w:color="auto" w:sz="12" w:space="0"/>
            </w:tcBorders>
            <w:vAlign w:val="center"/>
          </w:tcPr>
          <w:p>
            <w:pPr>
              <w:spacing w:line="360" w:lineRule="auto"/>
              <w:rPr>
                <w:rFonts w:ascii="宋体" w:hAnsi="宋体" w:cs="Arial"/>
                <w:color w:val="auto"/>
                <w:sz w:val="24"/>
                <w:highlight w:val="none"/>
              </w:rPr>
            </w:pPr>
          </w:p>
        </w:tc>
        <w:tc>
          <w:tcPr>
            <w:tcW w:w="1126"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750" w:type="dxa"/>
            <w:tcBorders>
              <w:right w:val="single" w:color="auto" w:sz="4" w:space="0"/>
            </w:tcBorders>
            <w:vAlign w:val="center"/>
          </w:tcPr>
          <w:p>
            <w:pPr>
              <w:spacing w:line="360" w:lineRule="auto"/>
              <w:rPr>
                <w:rFonts w:ascii="宋体" w:hAnsi="宋体" w:cs="Arial"/>
                <w:color w:val="auto"/>
                <w:sz w:val="24"/>
                <w:highlight w:val="none"/>
              </w:rPr>
            </w:pPr>
          </w:p>
        </w:tc>
        <w:tc>
          <w:tcPr>
            <w:tcW w:w="810" w:type="dxa"/>
            <w:tcBorders>
              <w:left w:val="single" w:color="auto" w:sz="4" w:space="0"/>
            </w:tcBorders>
            <w:vAlign w:val="center"/>
          </w:tcPr>
          <w:p>
            <w:pPr>
              <w:spacing w:line="360" w:lineRule="auto"/>
              <w:rPr>
                <w:rFonts w:ascii="宋体" w:hAnsi="宋体" w:cs="Arial"/>
                <w:color w:val="auto"/>
                <w:sz w:val="24"/>
                <w:highlight w:val="none"/>
              </w:rPr>
            </w:pPr>
          </w:p>
        </w:tc>
        <w:tc>
          <w:tcPr>
            <w:tcW w:w="870" w:type="dxa"/>
            <w:vAlign w:val="center"/>
          </w:tcPr>
          <w:p>
            <w:pPr>
              <w:spacing w:line="360" w:lineRule="auto"/>
              <w:rPr>
                <w:rFonts w:ascii="宋体" w:hAnsi="宋体" w:cs="Arial"/>
                <w:color w:val="auto"/>
                <w:sz w:val="24"/>
                <w:highlight w:val="none"/>
              </w:rPr>
            </w:pPr>
          </w:p>
        </w:tc>
        <w:tc>
          <w:tcPr>
            <w:tcW w:w="1304" w:type="dxa"/>
            <w:vAlign w:val="center"/>
          </w:tcPr>
          <w:p>
            <w:pPr>
              <w:spacing w:line="360" w:lineRule="auto"/>
              <w:rPr>
                <w:rFonts w:ascii="宋体" w:hAnsi="宋体" w:cs="Arial"/>
                <w:color w:val="auto"/>
                <w:sz w:val="24"/>
                <w:highlight w:val="none"/>
              </w:rPr>
            </w:pPr>
          </w:p>
        </w:tc>
        <w:tc>
          <w:tcPr>
            <w:tcW w:w="2026" w:type="dxa"/>
            <w:tcBorders>
              <w:right w:val="single" w:color="auto" w:sz="12" w:space="0"/>
            </w:tcBorders>
            <w:vAlign w:val="center"/>
          </w:tcPr>
          <w:p>
            <w:pPr>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45" w:type="dxa"/>
            <w:tcBorders>
              <w:left w:val="single" w:color="auto" w:sz="12" w:space="0"/>
            </w:tcBorders>
            <w:vAlign w:val="center"/>
          </w:tcPr>
          <w:p>
            <w:pPr>
              <w:spacing w:line="360" w:lineRule="auto"/>
              <w:rPr>
                <w:rFonts w:ascii="宋体" w:hAnsi="宋体" w:cs="Arial"/>
                <w:color w:val="auto"/>
                <w:sz w:val="24"/>
                <w:highlight w:val="none"/>
              </w:rPr>
            </w:pPr>
          </w:p>
        </w:tc>
        <w:tc>
          <w:tcPr>
            <w:tcW w:w="1126"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750" w:type="dxa"/>
            <w:tcBorders>
              <w:right w:val="single" w:color="auto" w:sz="4" w:space="0"/>
            </w:tcBorders>
            <w:vAlign w:val="center"/>
          </w:tcPr>
          <w:p>
            <w:pPr>
              <w:spacing w:line="360" w:lineRule="auto"/>
              <w:rPr>
                <w:rFonts w:ascii="宋体" w:hAnsi="宋体" w:cs="Arial"/>
                <w:color w:val="auto"/>
                <w:sz w:val="24"/>
                <w:highlight w:val="none"/>
              </w:rPr>
            </w:pPr>
          </w:p>
        </w:tc>
        <w:tc>
          <w:tcPr>
            <w:tcW w:w="810" w:type="dxa"/>
            <w:tcBorders>
              <w:left w:val="single" w:color="auto" w:sz="4" w:space="0"/>
            </w:tcBorders>
            <w:vAlign w:val="center"/>
          </w:tcPr>
          <w:p>
            <w:pPr>
              <w:spacing w:line="360" w:lineRule="auto"/>
              <w:rPr>
                <w:rFonts w:ascii="宋体" w:hAnsi="宋体" w:cs="Arial"/>
                <w:color w:val="auto"/>
                <w:sz w:val="24"/>
                <w:highlight w:val="none"/>
              </w:rPr>
            </w:pPr>
          </w:p>
        </w:tc>
        <w:tc>
          <w:tcPr>
            <w:tcW w:w="870" w:type="dxa"/>
            <w:vAlign w:val="center"/>
          </w:tcPr>
          <w:p>
            <w:pPr>
              <w:spacing w:line="360" w:lineRule="auto"/>
              <w:rPr>
                <w:rFonts w:ascii="宋体" w:hAnsi="宋体" w:cs="Arial"/>
                <w:color w:val="auto"/>
                <w:sz w:val="24"/>
                <w:highlight w:val="none"/>
              </w:rPr>
            </w:pPr>
          </w:p>
        </w:tc>
        <w:tc>
          <w:tcPr>
            <w:tcW w:w="1304" w:type="dxa"/>
            <w:vAlign w:val="center"/>
          </w:tcPr>
          <w:p>
            <w:pPr>
              <w:spacing w:line="360" w:lineRule="auto"/>
              <w:rPr>
                <w:rFonts w:ascii="宋体" w:hAnsi="宋体" w:cs="Arial"/>
                <w:color w:val="auto"/>
                <w:sz w:val="24"/>
                <w:highlight w:val="none"/>
              </w:rPr>
            </w:pPr>
          </w:p>
        </w:tc>
        <w:tc>
          <w:tcPr>
            <w:tcW w:w="2026" w:type="dxa"/>
            <w:tcBorders>
              <w:right w:val="single" w:color="auto" w:sz="12" w:space="0"/>
            </w:tcBorders>
            <w:vAlign w:val="center"/>
          </w:tcPr>
          <w:p>
            <w:pPr>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45" w:type="dxa"/>
            <w:tcBorders>
              <w:left w:val="single" w:color="auto" w:sz="12" w:space="0"/>
            </w:tcBorders>
            <w:vAlign w:val="center"/>
          </w:tcPr>
          <w:p>
            <w:pPr>
              <w:spacing w:line="360" w:lineRule="auto"/>
              <w:rPr>
                <w:rFonts w:ascii="宋体" w:hAnsi="宋体" w:cs="Arial"/>
                <w:color w:val="auto"/>
                <w:sz w:val="24"/>
                <w:highlight w:val="none"/>
              </w:rPr>
            </w:pPr>
          </w:p>
        </w:tc>
        <w:tc>
          <w:tcPr>
            <w:tcW w:w="1126"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750" w:type="dxa"/>
            <w:tcBorders>
              <w:right w:val="single" w:color="auto" w:sz="4" w:space="0"/>
            </w:tcBorders>
            <w:vAlign w:val="center"/>
          </w:tcPr>
          <w:p>
            <w:pPr>
              <w:spacing w:line="360" w:lineRule="auto"/>
              <w:rPr>
                <w:rFonts w:ascii="宋体" w:hAnsi="宋体" w:cs="Arial"/>
                <w:color w:val="auto"/>
                <w:sz w:val="24"/>
                <w:highlight w:val="none"/>
              </w:rPr>
            </w:pPr>
          </w:p>
        </w:tc>
        <w:tc>
          <w:tcPr>
            <w:tcW w:w="810" w:type="dxa"/>
            <w:tcBorders>
              <w:left w:val="single" w:color="auto" w:sz="4" w:space="0"/>
            </w:tcBorders>
            <w:vAlign w:val="center"/>
          </w:tcPr>
          <w:p>
            <w:pPr>
              <w:spacing w:line="360" w:lineRule="auto"/>
              <w:rPr>
                <w:rFonts w:ascii="宋体" w:hAnsi="宋体" w:cs="Arial"/>
                <w:color w:val="auto"/>
                <w:sz w:val="24"/>
                <w:highlight w:val="none"/>
              </w:rPr>
            </w:pPr>
          </w:p>
        </w:tc>
        <w:tc>
          <w:tcPr>
            <w:tcW w:w="870" w:type="dxa"/>
            <w:vAlign w:val="center"/>
          </w:tcPr>
          <w:p>
            <w:pPr>
              <w:spacing w:line="360" w:lineRule="auto"/>
              <w:rPr>
                <w:rFonts w:ascii="宋体" w:hAnsi="宋体" w:cs="Arial"/>
                <w:color w:val="auto"/>
                <w:sz w:val="24"/>
                <w:highlight w:val="none"/>
              </w:rPr>
            </w:pPr>
          </w:p>
        </w:tc>
        <w:tc>
          <w:tcPr>
            <w:tcW w:w="1304" w:type="dxa"/>
            <w:vAlign w:val="center"/>
          </w:tcPr>
          <w:p>
            <w:pPr>
              <w:spacing w:line="360" w:lineRule="auto"/>
              <w:rPr>
                <w:rFonts w:ascii="宋体" w:hAnsi="宋体" w:cs="Arial"/>
                <w:color w:val="auto"/>
                <w:sz w:val="24"/>
                <w:highlight w:val="none"/>
              </w:rPr>
            </w:pPr>
          </w:p>
        </w:tc>
        <w:tc>
          <w:tcPr>
            <w:tcW w:w="2026" w:type="dxa"/>
            <w:tcBorders>
              <w:right w:val="single" w:color="auto" w:sz="12" w:space="0"/>
            </w:tcBorders>
            <w:vAlign w:val="center"/>
          </w:tcPr>
          <w:p>
            <w:pPr>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45" w:type="dxa"/>
            <w:tcBorders>
              <w:left w:val="single" w:color="auto" w:sz="12" w:space="0"/>
            </w:tcBorders>
            <w:vAlign w:val="center"/>
          </w:tcPr>
          <w:p>
            <w:pPr>
              <w:spacing w:line="360" w:lineRule="auto"/>
              <w:rPr>
                <w:rFonts w:ascii="宋体" w:hAnsi="宋体" w:cs="Arial"/>
                <w:color w:val="auto"/>
                <w:sz w:val="24"/>
                <w:highlight w:val="none"/>
              </w:rPr>
            </w:pPr>
          </w:p>
        </w:tc>
        <w:tc>
          <w:tcPr>
            <w:tcW w:w="1126"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750" w:type="dxa"/>
            <w:vAlign w:val="center"/>
          </w:tcPr>
          <w:p>
            <w:pPr>
              <w:spacing w:line="360" w:lineRule="auto"/>
              <w:rPr>
                <w:rFonts w:ascii="宋体" w:hAnsi="宋体" w:cs="Arial"/>
                <w:color w:val="auto"/>
                <w:sz w:val="24"/>
                <w:highlight w:val="none"/>
              </w:rPr>
            </w:pPr>
          </w:p>
        </w:tc>
        <w:tc>
          <w:tcPr>
            <w:tcW w:w="810" w:type="dxa"/>
            <w:vAlign w:val="center"/>
          </w:tcPr>
          <w:p>
            <w:pPr>
              <w:spacing w:line="360" w:lineRule="auto"/>
              <w:rPr>
                <w:rFonts w:ascii="宋体" w:hAnsi="宋体" w:cs="Arial"/>
                <w:color w:val="auto"/>
                <w:sz w:val="24"/>
                <w:highlight w:val="none"/>
              </w:rPr>
            </w:pPr>
          </w:p>
        </w:tc>
        <w:tc>
          <w:tcPr>
            <w:tcW w:w="870" w:type="dxa"/>
            <w:vAlign w:val="center"/>
          </w:tcPr>
          <w:p>
            <w:pPr>
              <w:spacing w:line="360" w:lineRule="auto"/>
              <w:rPr>
                <w:rFonts w:ascii="宋体" w:hAnsi="宋体" w:cs="Arial"/>
                <w:color w:val="auto"/>
                <w:sz w:val="24"/>
                <w:highlight w:val="none"/>
              </w:rPr>
            </w:pPr>
          </w:p>
        </w:tc>
        <w:tc>
          <w:tcPr>
            <w:tcW w:w="1304" w:type="dxa"/>
            <w:vAlign w:val="center"/>
          </w:tcPr>
          <w:p>
            <w:pPr>
              <w:spacing w:line="360" w:lineRule="auto"/>
              <w:rPr>
                <w:rFonts w:ascii="宋体" w:hAnsi="宋体" w:cs="Arial"/>
                <w:color w:val="auto"/>
                <w:sz w:val="24"/>
                <w:highlight w:val="none"/>
              </w:rPr>
            </w:pPr>
          </w:p>
        </w:tc>
        <w:tc>
          <w:tcPr>
            <w:tcW w:w="2026" w:type="dxa"/>
            <w:tcBorders>
              <w:right w:val="single" w:color="auto" w:sz="12" w:space="0"/>
            </w:tcBorders>
            <w:vAlign w:val="center"/>
          </w:tcPr>
          <w:p>
            <w:pPr>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45" w:type="dxa"/>
            <w:tcBorders>
              <w:left w:val="single" w:color="auto" w:sz="12" w:space="0"/>
            </w:tcBorders>
            <w:vAlign w:val="center"/>
          </w:tcPr>
          <w:p>
            <w:pPr>
              <w:spacing w:line="360" w:lineRule="auto"/>
              <w:rPr>
                <w:rFonts w:ascii="宋体" w:hAnsi="宋体" w:cs="Arial"/>
                <w:color w:val="auto"/>
                <w:sz w:val="24"/>
                <w:highlight w:val="none"/>
              </w:rPr>
            </w:pPr>
          </w:p>
        </w:tc>
        <w:tc>
          <w:tcPr>
            <w:tcW w:w="1126"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750" w:type="dxa"/>
            <w:vAlign w:val="center"/>
          </w:tcPr>
          <w:p>
            <w:pPr>
              <w:spacing w:line="360" w:lineRule="auto"/>
              <w:rPr>
                <w:rFonts w:ascii="宋体" w:hAnsi="宋体" w:cs="Arial"/>
                <w:color w:val="auto"/>
                <w:sz w:val="24"/>
                <w:highlight w:val="none"/>
              </w:rPr>
            </w:pPr>
          </w:p>
        </w:tc>
        <w:tc>
          <w:tcPr>
            <w:tcW w:w="810" w:type="dxa"/>
            <w:vAlign w:val="center"/>
          </w:tcPr>
          <w:p>
            <w:pPr>
              <w:spacing w:line="360" w:lineRule="auto"/>
              <w:rPr>
                <w:rFonts w:ascii="宋体" w:hAnsi="宋体" w:cs="Arial"/>
                <w:color w:val="auto"/>
                <w:sz w:val="24"/>
                <w:highlight w:val="none"/>
              </w:rPr>
            </w:pPr>
          </w:p>
        </w:tc>
        <w:tc>
          <w:tcPr>
            <w:tcW w:w="870" w:type="dxa"/>
            <w:vAlign w:val="center"/>
          </w:tcPr>
          <w:p>
            <w:pPr>
              <w:spacing w:line="360" w:lineRule="auto"/>
              <w:rPr>
                <w:rFonts w:ascii="宋体" w:hAnsi="宋体" w:cs="Arial"/>
                <w:color w:val="auto"/>
                <w:sz w:val="24"/>
                <w:highlight w:val="none"/>
              </w:rPr>
            </w:pPr>
          </w:p>
        </w:tc>
        <w:tc>
          <w:tcPr>
            <w:tcW w:w="1304" w:type="dxa"/>
            <w:vAlign w:val="center"/>
          </w:tcPr>
          <w:p>
            <w:pPr>
              <w:spacing w:line="360" w:lineRule="auto"/>
              <w:rPr>
                <w:rFonts w:ascii="宋体" w:hAnsi="宋体" w:cs="Arial"/>
                <w:color w:val="auto"/>
                <w:sz w:val="24"/>
                <w:highlight w:val="none"/>
              </w:rPr>
            </w:pPr>
          </w:p>
        </w:tc>
        <w:tc>
          <w:tcPr>
            <w:tcW w:w="2026" w:type="dxa"/>
            <w:tcBorders>
              <w:right w:val="single" w:color="auto" w:sz="12" w:space="0"/>
            </w:tcBorders>
            <w:vAlign w:val="center"/>
          </w:tcPr>
          <w:p>
            <w:pPr>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45" w:type="dxa"/>
            <w:tcBorders>
              <w:left w:val="single" w:color="auto" w:sz="12" w:space="0"/>
            </w:tcBorders>
            <w:vAlign w:val="center"/>
          </w:tcPr>
          <w:p>
            <w:pPr>
              <w:spacing w:line="360" w:lineRule="auto"/>
              <w:rPr>
                <w:rFonts w:ascii="宋体" w:hAnsi="宋体" w:cs="Arial"/>
                <w:color w:val="auto"/>
                <w:sz w:val="24"/>
                <w:highlight w:val="none"/>
              </w:rPr>
            </w:pPr>
          </w:p>
        </w:tc>
        <w:tc>
          <w:tcPr>
            <w:tcW w:w="1126"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750" w:type="dxa"/>
            <w:vAlign w:val="center"/>
          </w:tcPr>
          <w:p>
            <w:pPr>
              <w:spacing w:line="360" w:lineRule="auto"/>
              <w:rPr>
                <w:rFonts w:ascii="宋体" w:hAnsi="宋体" w:cs="Arial"/>
                <w:color w:val="auto"/>
                <w:sz w:val="24"/>
                <w:highlight w:val="none"/>
              </w:rPr>
            </w:pPr>
          </w:p>
        </w:tc>
        <w:tc>
          <w:tcPr>
            <w:tcW w:w="810" w:type="dxa"/>
            <w:vAlign w:val="center"/>
          </w:tcPr>
          <w:p>
            <w:pPr>
              <w:spacing w:line="360" w:lineRule="auto"/>
              <w:rPr>
                <w:rFonts w:ascii="宋体" w:hAnsi="宋体" w:cs="Arial"/>
                <w:color w:val="auto"/>
                <w:sz w:val="24"/>
                <w:highlight w:val="none"/>
              </w:rPr>
            </w:pPr>
          </w:p>
        </w:tc>
        <w:tc>
          <w:tcPr>
            <w:tcW w:w="870" w:type="dxa"/>
            <w:vAlign w:val="center"/>
          </w:tcPr>
          <w:p>
            <w:pPr>
              <w:spacing w:line="360" w:lineRule="auto"/>
              <w:rPr>
                <w:rFonts w:ascii="宋体" w:hAnsi="宋体" w:cs="Arial"/>
                <w:color w:val="auto"/>
                <w:sz w:val="24"/>
                <w:highlight w:val="none"/>
              </w:rPr>
            </w:pPr>
          </w:p>
        </w:tc>
        <w:tc>
          <w:tcPr>
            <w:tcW w:w="1304" w:type="dxa"/>
            <w:vAlign w:val="center"/>
          </w:tcPr>
          <w:p>
            <w:pPr>
              <w:spacing w:line="360" w:lineRule="auto"/>
              <w:rPr>
                <w:rFonts w:ascii="宋体" w:hAnsi="宋体" w:cs="Arial"/>
                <w:color w:val="auto"/>
                <w:sz w:val="24"/>
                <w:highlight w:val="none"/>
              </w:rPr>
            </w:pPr>
          </w:p>
        </w:tc>
        <w:tc>
          <w:tcPr>
            <w:tcW w:w="2026" w:type="dxa"/>
            <w:tcBorders>
              <w:right w:val="single" w:color="auto" w:sz="12" w:space="0"/>
            </w:tcBorders>
            <w:vAlign w:val="center"/>
          </w:tcPr>
          <w:p>
            <w:pPr>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45" w:type="dxa"/>
            <w:tcBorders>
              <w:left w:val="single" w:color="auto" w:sz="12" w:space="0"/>
            </w:tcBorders>
            <w:vAlign w:val="center"/>
          </w:tcPr>
          <w:p>
            <w:pPr>
              <w:spacing w:line="360" w:lineRule="auto"/>
              <w:rPr>
                <w:rFonts w:ascii="宋体" w:hAnsi="宋体" w:cs="Arial"/>
                <w:color w:val="auto"/>
                <w:sz w:val="24"/>
                <w:highlight w:val="none"/>
              </w:rPr>
            </w:pPr>
          </w:p>
        </w:tc>
        <w:tc>
          <w:tcPr>
            <w:tcW w:w="1126"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750" w:type="dxa"/>
            <w:vAlign w:val="center"/>
          </w:tcPr>
          <w:p>
            <w:pPr>
              <w:spacing w:line="360" w:lineRule="auto"/>
              <w:rPr>
                <w:rFonts w:ascii="宋体" w:hAnsi="宋体" w:cs="Arial"/>
                <w:color w:val="auto"/>
                <w:sz w:val="24"/>
                <w:highlight w:val="none"/>
              </w:rPr>
            </w:pPr>
          </w:p>
        </w:tc>
        <w:tc>
          <w:tcPr>
            <w:tcW w:w="810" w:type="dxa"/>
            <w:vAlign w:val="center"/>
          </w:tcPr>
          <w:p>
            <w:pPr>
              <w:spacing w:line="360" w:lineRule="auto"/>
              <w:rPr>
                <w:rFonts w:ascii="宋体" w:hAnsi="宋体" w:cs="Arial"/>
                <w:color w:val="auto"/>
                <w:sz w:val="24"/>
                <w:highlight w:val="none"/>
              </w:rPr>
            </w:pPr>
          </w:p>
        </w:tc>
        <w:tc>
          <w:tcPr>
            <w:tcW w:w="870" w:type="dxa"/>
            <w:vAlign w:val="center"/>
          </w:tcPr>
          <w:p>
            <w:pPr>
              <w:spacing w:line="360" w:lineRule="auto"/>
              <w:rPr>
                <w:rFonts w:ascii="宋体" w:hAnsi="宋体" w:cs="Arial"/>
                <w:color w:val="auto"/>
                <w:sz w:val="24"/>
                <w:highlight w:val="none"/>
              </w:rPr>
            </w:pPr>
          </w:p>
        </w:tc>
        <w:tc>
          <w:tcPr>
            <w:tcW w:w="1304" w:type="dxa"/>
            <w:vAlign w:val="center"/>
          </w:tcPr>
          <w:p>
            <w:pPr>
              <w:spacing w:line="360" w:lineRule="auto"/>
              <w:rPr>
                <w:rFonts w:ascii="宋体" w:hAnsi="宋体" w:cs="Arial"/>
                <w:color w:val="auto"/>
                <w:sz w:val="24"/>
                <w:highlight w:val="none"/>
              </w:rPr>
            </w:pPr>
          </w:p>
        </w:tc>
        <w:tc>
          <w:tcPr>
            <w:tcW w:w="2026" w:type="dxa"/>
            <w:tcBorders>
              <w:right w:val="single" w:color="auto" w:sz="12" w:space="0"/>
            </w:tcBorders>
            <w:vAlign w:val="center"/>
          </w:tcPr>
          <w:p>
            <w:pPr>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45" w:type="dxa"/>
            <w:tcBorders>
              <w:left w:val="single" w:color="auto" w:sz="12" w:space="0"/>
            </w:tcBorders>
            <w:vAlign w:val="center"/>
          </w:tcPr>
          <w:p>
            <w:pPr>
              <w:spacing w:line="360" w:lineRule="auto"/>
              <w:rPr>
                <w:rFonts w:ascii="宋体" w:hAnsi="宋体" w:cs="Arial"/>
                <w:color w:val="auto"/>
                <w:sz w:val="24"/>
                <w:highlight w:val="none"/>
              </w:rPr>
            </w:pPr>
          </w:p>
        </w:tc>
        <w:tc>
          <w:tcPr>
            <w:tcW w:w="1126"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750" w:type="dxa"/>
            <w:vAlign w:val="center"/>
          </w:tcPr>
          <w:p>
            <w:pPr>
              <w:spacing w:line="360" w:lineRule="auto"/>
              <w:rPr>
                <w:rFonts w:ascii="宋体" w:hAnsi="宋体" w:cs="Arial"/>
                <w:color w:val="auto"/>
                <w:sz w:val="24"/>
                <w:highlight w:val="none"/>
              </w:rPr>
            </w:pPr>
          </w:p>
        </w:tc>
        <w:tc>
          <w:tcPr>
            <w:tcW w:w="810" w:type="dxa"/>
            <w:vAlign w:val="center"/>
          </w:tcPr>
          <w:p>
            <w:pPr>
              <w:spacing w:line="360" w:lineRule="auto"/>
              <w:rPr>
                <w:rFonts w:ascii="宋体" w:hAnsi="宋体" w:cs="Arial"/>
                <w:color w:val="auto"/>
                <w:sz w:val="24"/>
                <w:highlight w:val="none"/>
              </w:rPr>
            </w:pPr>
          </w:p>
        </w:tc>
        <w:tc>
          <w:tcPr>
            <w:tcW w:w="870" w:type="dxa"/>
            <w:vAlign w:val="center"/>
          </w:tcPr>
          <w:p>
            <w:pPr>
              <w:spacing w:line="360" w:lineRule="auto"/>
              <w:rPr>
                <w:rFonts w:ascii="宋体" w:hAnsi="宋体" w:cs="Arial"/>
                <w:color w:val="auto"/>
                <w:sz w:val="24"/>
                <w:highlight w:val="none"/>
              </w:rPr>
            </w:pPr>
          </w:p>
        </w:tc>
        <w:tc>
          <w:tcPr>
            <w:tcW w:w="1304" w:type="dxa"/>
            <w:vAlign w:val="center"/>
          </w:tcPr>
          <w:p>
            <w:pPr>
              <w:spacing w:line="360" w:lineRule="auto"/>
              <w:rPr>
                <w:rFonts w:ascii="宋体" w:hAnsi="宋体" w:cs="Arial"/>
                <w:color w:val="auto"/>
                <w:sz w:val="24"/>
                <w:highlight w:val="none"/>
              </w:rPr>
            </w:pPr>
          </w:p>
        </w:tc>
        <w:tc>
          <w:tcPr>
            <w:tcW w:w="2026" w:type="dxa"/>
            <w:tcBorders>
              <w:right w:val="single" w:color="auto" w:sz="12" w:space="0"/>
            </w:tcBorders>
            <w:vAlign w:val="center"/>
          </w:tcPr>
          <w:p>
            <w:pPr>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45" w:type="dxa"/>
            <w:tcBorders>
              <w:left w:val="single" w:color="auto" w:sz="12" w:space="0"/>
            </w:tcBorders>
            <w:vAlign w:val="center"/>
          </w:tcPr>
          <w:p>
            <w:pPr>
              <w:spacing w:line="360" w:lineRule="auto"/>
              <w:rPr>
                <w:rFonts w:ascii="宋体" w:hAnsi="宋体" w:cs="Arial"/>
                <w:color w:val="auto"/>
                <w:sz w:val="24"/>
                <w:highlight w:val="none"/>
              </w:rPr>
            </w:pPr>
          </w:p>
        </w:tc>
        <w:tc>
          <w:tcPr>
            <w:tcW w:w="1126"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750" w:type="dxa"/>
            <w:vAlign w:val="center"/>
          </w:tcPr>
          <w:p>
            <w:pPr>
              <w:spacing w:line="360" w:lineRule="auto"/>
              <w:rPr>
                <w:rFonts w:ascii="宋体" w:hAnsi="宋体" w:cs="Arial"/>
                <w:color w:val="auto"/>
                <w:sz w:val="24"/>
                <w:highlight w:val="none"/>
              </w:rPr>
            </w:pPr>
          </w:p>
        </w:tc>
        <w:tc>
          <w:tcPr>
            <w:tcW w:w="810" w:type="dxa"/>
            <w:vAlign w:val="center"/>
          </w:tcPr>
          <w:p>
            <w:pPr>
              <w:spacing w:line="360" w:lineRule="auto"/>
              <w:rPr>
                <w:rFonts w:ascii="宋体" w:hAnsi="宋体" w:cs="Arial"/>
                <w:color w:val="auto"/>
                <w:sz w:val="24"/>
                <w:highlight w:val="none"/>
              </w:rPr>
            </w:pPr>
          </w:p>
        </w:tc>
        <w:tc>
          <w:tcPr>
            <w:tcW w:w="870" w:type="dxa"/>
            <w:vAlign w:val="center"/>
          </w:tcPr>
          <w:p>
            <w:pPr>
              <w:spacing w:line="360" w:lineRule="auto"/>
              <w:rPr>
                <w:rFonts w:ascii="宋体" w:hAnsi="宋体" w:cs="Arial"/>
                <w:color w:val="auto"/>
                <w:sz w:val="24"/>
                <w:highlight w:val="none"/>
              </w:rPr>
            </w:pPr>
          </w:p>
        </w:tc>
        <w:tc>
          <w:tcPr>
            <w:tcW w:w="1304" w:type="dxa"/>
            <w:vAlign w:val="center"/>
          </w:tcPr>
          <w:p>
            <w:pPr>
              <w:spacing w:line="360" w:lineRule="auto"/>
              <w:rPr>
                <w:rFonts w:ascii="宋体" w:hAnsi="宋体" w:cs="Arial"/>
                <w:color w:val="auto"/>
                <w:sz w:val="24"/>
                <w:highlight w:val="none"/>
              </w:rPr>
            </w:pPr>
          </w:p>
        </w:tc>
        <w:tc>
          <w:tcPr>
            <w:tcW w:w="2026" w:type="dxa"/>
            <w:tcBorders>
              <w:right w:val="single" w:color="auto" w:sz="12" w:space="0"/>
            </w:tcBorders>
            <w:vAlign w:val="center"/>
          </w:tcPr>
          <w:p>
            <w:pPr>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45" w:type="dxa"/>
            <w:tcBorders>
              <w:left w:val="single" w:color="auto" w:sz="12" w:space="0"/>
            </w:tcBorders>
            <w:vAlign w:val="center"/>
          </w:tcPr>
          <w:p>
            <w:pPr>
              <w:spacing w:line="360" w:lineRule="auto"/>
              <w:rPr>
                <w:rFonts w:ascii="宋体" w:hAnsi="宋体" w:cs="Arial"/>
                <w:color w:val="auto"/>
                <w:sz w:val="24"/>
                <w:highlight w:val="none"/>
              </w:rPr>
            </w:pPr>
          </w:p>
        </w:tc>
        <w:tc>
          <w:tcPr>
            <w:tcW w:w="1126"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750" w:type="dxa"/>
            <w:vAlign w:val="center"/>
          </w:tcPr>
          <w:p>
            <w:pPr>
              <w:spacing w:line="360" w:lineRule="auto"/>
              <w:rPr>
                <w:rFonts w:ascii="宋体" w:hAnsi="宋体" w:cs="Arial"/>
                <w:color w:val="auto"/>
                <w:sz w:val="24"/>
                <w:highlight w:val="none"/>
              </w:rPr>
            </w:pPr>
          </w:p>
        </w:tc>
        <w:tc>
          <w:tcPr>
            <w:tcW w:w="810" w:type="dxa"/>
            <w:vAlign w:val="center"/>
          </w:tcPr>
          <w:p>
            <w:pPr>
              <w:spacing w:line="360" w:lineRule="auto"/>
              <w:rPr>
                <w:rFonts w:ascii="宋体" w:hAnsi="宋体" w:cs="Arial"/>
                <w:color w:val="auto"/>
                <w:sz w:val="24"/>
                <w:highlight w:val="none"/>
              </w:rPr>
            </w:pPr>
          </w:p>
        </w:tc>
        <w:tc>
          <w:tcPr>
            <w:tcW w:w="870" w:type="dxa"/>
            <w:vAlign w:val="center"/>
          </w:tcPr>
          <w:p>
            <w:pPr>
              <w:spacing w:line="360" w:lineRule="auto"/>
              <w:rPr>
                <w:rFonts w:ascii="宋体" w:hAnsi="宋体" w:cs="Arial"/>
                <w:color w:val="auto"/>
                <w:sz w:val="24"/>
                <w:highlight w:val="none"/>
              </w:rPr>
            </w:pPr>
          </w:p>
        </w:tc>
        <w:tc>
          <w:tcPr>
            <w:tcW w:w="1304" w:type="dxa"/>
            <w:vAlign w:val="center"/>
          </w:tcPr>
          <w:p>
            <w:pPr>
              <w:spacing w:line="360" w:lineRule="auto"/>
              <w:rPr>
                <w:rFonts w:ascii="宋体" w:hAnsi="宋体" w:cs="Arial"/>
                <w:color w:val="auto"/>
                <w:sz w:val="24"/>
                <w:highlight w:val="none"/>
              </w:rPr>
            </w:pPr>
          </w:p>
        </w:tc>
        <w:tc>
          <w:tcPr>
            <w:tcW w:w="2026" w:type="dxa"/>
            <w:tcBorders>
              <w:right w:val="single" w:color="auto" w:sz="12" w:space="0"/>
            </w:tcBorders>
            <w:vAlign w:val="center"/>
          </w:tcPr>
          <w:p>
            <w:pPr>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45" w:type="dxa"/>
            <w:tcBorders>
              <w:left w:val="single" w:color="auto" w:sz="12" w:space="0"/>
            </w:tcBorders>
            <w:vAlign w:val="center"/>
          </w:tcPr>
          <w:p>
            <w:pPr>
              <w:spacing w:line="360" w:lineRule="auto"/>
              <w:rPr>
                <w:rFonts w:ascii="宋体" w:hAnsi="宋体" w:cs="Arial"/>
                <w:color w:val="auto"/>
                <w:sz w:val="24"/>
                <w:highlight w:val="none"/>
              </w:rPr>
            </w:pPr>
          </w:p>
        </w:tc>
        <w:tc>
          <w:tcPr>
            <w:tcW w:w="1126"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690" w:type="dxa"/>
            <w:vAlign w:val="center"/>
          </w:tcPr>
          <w:p>
            <w:pPr>
              <w:spacing w:line="360" w:lineRule="auto"/>
              <w:rPr>
                <w:rFonts w:ascii="宋体" w:hAnsi="宋体" w:cs="Arial"/>
                <w:color w:val="auto"/>
                <w:sz w:val="24"/>
                <w:highlight w:val="none"/>
              </w:rPr>
            </w:pPr>
          </w:p>
        </w:tc>
        <w:tc>
          <w:tcPr>
            <w:tcW w:w="750" w:type="dxa"/>
            <w:vAlign w:val="center"/>
          </w:tcPr>
          <w:p>
            <w:pPr>
              <w:spacing w:line="360" w:lineRule="auto"/>
              <w:rPr>
                <w:rFonts w:ascii="宋体" w:hAnsi="宋体" w:cs="Arial"/>
                <w:color w:val="auto"/>
                <w:sz w:val="24"/>
                <w:highlight w:val="none"/>
              </w:rPr>
            </w:pPr>
          </w:p>
        </w:tc>
        <w:tc>
          <w:tcPr>
            <w:tcW w:w="810" w:type="dxa"/>
            <w:vAlign w:val="center"/>
          </w:tcPr>
          <w:p>
            <w:pPr>
              <w:spacing w:line="360" w:lineRule="auto"/>
              <w:rPr>
                <w:rFonts w:ascii="宋体" w:hAnsi="宋体" w:cs="Arial"/>
                <w:color w:val="auto"/>
                <w:sz w:val="24"/>
                <w:highlight w:val="none"/>
              </w:rPr>
            </w:pPr>
          </w:p>
        </w:tc>
        <w:tc>
          <w:tcPr>
            <w:tcW w:w="870" w:type="dxa"/>
            <w:vAlign w:val="center"/>
          </w:tcPr>
          <w:p>
            <w:pPr>
              <w:spacing w:line="360" w:lineRule="auto"/>
              <w:rPr>
                <w:rFonts w:ascii="宋体" w:hAnsi="宋体" w:cs="Arial"/>
                <w:color w:val="auto"/>
                <w:sz w:val="24"/>
                <w:highlight w:val="none"/>
              </w:rPr>
            </w:pPr>
          </w:p>
        </w:tc>
        <w:tc>
          <w:tcPr>
            <w:tcW w:w="1304" w:type="dxa"/>
            <w:vAlign w:val="center"/>
          </w:tcPr>
          <w:p>
            <w:pPr>
              <w:spacing w:line="360" w:lineRule="auto"/>
              <w:rPr>
                <w:rFonts w:ascii="宋体" w:hAnsi="宋体" w:cs="Arial"/>
                <w:color w:val="auto"/>
                <w:sz w:val="24"/>
                <w:highlight w:val="none"/>
              </w:rPr>
            </w:pPr>
          </w:p>
        </w:tc>
        <w:tc>
          <w:tcPr>
            <w:tcW w:w="2026" w:type="dxa"/>
            <w:tcBorders>
              <w:right w:val="single" w:color="auto" w:sz="12" w:space="0"/>
            </w:tcBorders>
            <w:vAlign w:val="center"/>
          </w:tcPr>
          <w:p>
            <w:pPr>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9511" w:type="dxa"/>
            <w:gridSpan w:val="9"/>
            <w:tcBorders>
              <w:left w:val="single" w:color="auto" w:sz="12" w:space="0"/>
              <w:bottom w:val="single" w:color="auto" w:sz="12" w:space="0"/>
              <w:right w:val="single" w:color="auto" w:sz="12" w:space="0"/>
            </w:tcBorders>
            <w:vAlign w:val="center"/>
          </w:tcPr>
          <w:p>
            <w:pPr>
              <w:rPr>
                <w:rFonts w:ascii="宋体" w:hAnsi="宋体" w:cs="Arial"/>
                <w:color w:val="auto"/>
                <w:highlight w:val="none"/>
              </w:rPr>
            </w:pPr>
            <w:r>
              <w:rPr>
                <w:rFonts w:ascii="宋体" w:hAnsi="宋体" w:cs="Arial"/>
                <w:color w:val="auto"/>
                <w:highlight w:val="none"/>
              </w:rPr>
              <w:t>一旦我单位中标，将实行项目负责人负责制，我方保证并配备上述</w:t>
            </w:r>
            <w:r>
              <w:rPr>
                <w:rFonts w:hint="eastAsia" w:ascii="宋体" w:hAnsi="宋体" w:cs="Arial"/>
                <w:color w:val="auto"/>
                <w:highlight w:val="none"/>
              </w:rPr>
              <w:t>项目组人员</w:t>
            </w:r>
            <w:r>
              <w:rPr>
                <w:rFonts w:ascii="宋体" w:hAnsi="宋体" w:cs="Arial"/>
                <w:color w:val="auto"/>
                <w:highlight w:val="none"/>
              </w:rPr>
              <w:t>。上述填报内容真实，若不真实，愿按有关规定接受处理。</w:t>
            </w:r>
          </w:p>
        </w:tc>
      </w:tr>
    </w:tbl>
    <w:p>
      <w:pPr>
        <w:pStyle w:val="12"/>
        <w:spacing w:line="400" w:lineRule="exact"/>
        <w:ind w:firstLine="0"/>
        <w:jc w:val="left"/>
        <w:rPr>
          <w:rFonts w:ascii="宋体" w:hAnsi="宋体"/>
          <w:color w:val="auto"/>
          <w:szCs w:val="21"/>
          <w:highlight w:val="none"/>
        </w:rPr>
      </w:pPr>
      <w:r>
        <w:rPr>
          <w:rFonts w:hint="eastAsia" w:ascii="宋体" w:hAnsi="宋体"/>
          <w:color w:val="auto"/>
          <w:szCs w:val="21"/>
          <w:highlight w:val="none"/>
        </w:rPr>
        <w:t>附</w:t>
      </w:r>
      <w:r>
        <w:rPr>
          <w:rFonts w:ascii="宋体" w:hAnsi="宋体"/>
          <w:color w:val="auto"/>
          <w:szCs w:val="21"/>
          <w:highlight w:val="none"/>
        </w:rPr>
        <w:t>注：1</w:t>
      </w:r>
      <w:r>
        <w:rPr>
          <w:rFonts w:hint="eastAsia" w:ascii="宋体" w:hAnsi="宋体"/>
          <w:color w:val="auto"/>
          <w:szCs w:val="21"/>
          <w:highlight w:val="none"/>
        </w:rPr>
        <w:t>. 本表附</w:t>
      </w:r>
      <w:r>
        <w:rPr>
          <w:rFonts w:hint="eastAsia"/>
          <w:bCs/>
          <w:color w:val="auto"/>
          <w:szCs w:val="21"/>
          <w:highlight w:val="none"/>
        </w:rPr>
        <w:t>学历、资格证书、</w:t>
      </w:r>
      <w:r>
        <w:rPr>
          <w:rFonts w:hint="eastAsia" w:ascii="宋体" w:hAnsi="宋体"/>
          <w:color w:val="auto"/>
          <w:szCs w:val="21"/>
          <w:highlight w:val="none"/>
        </w:rPr>
        <w:t>近半年内连续三个月的社保缴纳证明（复印件加盖公章）。</w:t>
      </w:r>
    </w:p>
    <w:p>
      <w:pPr>
        <w:pStyle w:val="10"/>
        <w:spacing w:before="26"/>
        <w:ind w:right="72" w:firstLine="420" w:firstLineChars="200"/>
        <w:rPr>
          <w:rFonts w:ascii="宋体" w:hAnsi="宋体" w:eastAsia="宋体" w:cs="宋体"/>
          <w:color w:val="auto"/>
          <w:sz w:val="24"/>
          <w:highlight w:val="none"/>
        </w:rPr>
      </w:pPr>
      <w:r>
        <w:rPr>
          <w:rFonts w:ascii="宋体" w:hAnsi="宋体" w:cs="Arial"/>
          <w:color w:val="auto"/>
          <w:highlight w:val="none"/>
        </w:rPr>
        <w:t xml:space="preserve">  </w:t>
      </w:r>
      <w:r>
        <w:rPr>
          <w:rFonts w:hint="eastAsia" w:ascii="宋体" w:hAnsi="宋体" w:cs="Arial"/>
          <w:b/>
          <w:color w:val="auto"/>
          <w:highlight w:val="none"/>
        </w:rPr>
        <w:t>2.</w:t>
      </w:r>
      <w:r>
        <w:rPr>
          <w:rFonts w:hint="eastAsia" w:ascii="宋体" w:hAnsi="宋体" w:cs="Arial"/>
          <w:color w:val="auto"/>
          <w:highlight w:val="none"/>
        </w:rPr>
        <w:t xml:space="preserve"> </w:t>
      </w:r>
      <w:r>
        <w:rPr>
          <w:rFonts w:ascii="宋体" w:hAnsi="宋体" w:cs="Arial"/>
          <w:b/>
          <w:color w:val="auto"/>
          <w:highlight w:val="none"/>
        </w:rPr>
        <w:t>列入本表人员如要更换，需经采购单位同意；擅自更换或不到位属违约行为。</w:t>
      </w:r>
    </w:p>
    <w:p>
      <w:pPr>
        <w:pStyle w:val="10"/>
        <w:spacing w:before="117"/>
        <w:ind w:left="3791" w:leftChars="1800" w:right="277" w:rightChars="132" w:hanging="11"/>
        <w:rPr>
          <w:rFonts w:ascii="宋体" w:hAnsi="宋体" w:eastAsia="宋体" w:cs="宋体"/>
          <w:color w:val="auto"/>
          <w:sz w:val="24"/>
          <w:highlight w:val="none"/>
        </w:rPr>
      </w:pPr>
    </w:p>
    <w:p>
      <w:pPr>
        <w:pStyle w:val="10"/>
        <w:spacing w:before="117"/>
        <w:ind w:left="3791" w:leftChars="1800" w:right="277" w:rightChars="132" w:hanging="11"/>
        <w:rPr>
          <w:rFonts w:ascii="宋体" w:hAnsi="宋体" w:eastAsia="宋体" w:cs="宋体"/>
          <w:color w:val="auto"/>
          <w:sz w:val="24"/>
          <w:highlight w:val="none"/>
          <w:u w:val="single"/>
        </w:rPr>
      </w:pPr>
      <w:r>
        <w:rPr>
          <w:rFonts w:hint="eastAsia" w:ascii="宋体" w:hAnsi="宋体" w:eastAsia="宋体" w:cs="宋体"/>
          <w:color w:val="auto"/>
          <w:sz w:val="24"/>
          <w:highlight w:val="none"/>
        </w:rPr>
        <w:t>投标人全称（盖章）：</w:t>
      </w:r>
      <w:r>
        <w:rPr>
          <w:rFonts w:hint="eastAsia" w:ascii="宋体" w:hAnsi="宋体" w:eastAsia="宋体" w:cs="宋体"/>
          <w:color w:val="auto"/>
          <w:sz w:val="24"/>
          <w:highlight w:val="none"/>
          <w:u w:val="single"/>
        </w:rPr>
        <w:t xml:space="preserve">                           </w:t>
      </w:r>
    </w:p>
    <w:p>
      <w:pPr>
        <w:pStyle w:val="10"/>
        <w:tabs>
          <w:tab w:val="left" w:pos="8209"/>
          <w:tab w:val="left" w:pos="8742"/>
          <w:tab w:val="left" w:pos="9169"/>
          <w:tab w:val="left" w:pos="10120"/>
        </w:tabs>
        <w:spacing w:before="132" w:line="364" w:lineRule="auto"/>
        <w:ind w:left="3791" w:leftChars="1800" w:right="277" w:rightChars="132" w:hanging="11"/>
        <w:rPr>
          <w:rFonts w:ascii="宋体" w:hAnsi="宋体" w:eastAsia="宋体" w:cs="宋体"/>
          <w:color w:val="auto"/>
          <w:sz w:val="24"/>
          <w:highlight w:val="none"/>
          <w:u w:val="single"/>
        </w:rPr>
      </w:pPr>
      <w:r>
        <w:rPr>
          <w:rFonts w:hint="eastAsia" w:ascii="宋体" w:hAnsi="宋体" w:eastAsia="宋体" w:cs="宋体"/>
          <w:color w:val="auto"/>
          <w:sz w:val="24"/>
          <w:highlight w:val="none"/>
        </w:rPr>
        <w:t>法定代表人或授权代表（签字或盖章）：</w:t>
      </w:r>
      <w:r>
        <w:rPr>
          <w:rFonts w:hint="eastAsia" w:ascii="宋体" w:hAnsi="宋体" w:eastAsia="宋体" w:cs="宋体"/>
          <w:color w:val="auto"/>
          <w:sz w:val="24"/>
          <w:highlight w:val="none"/>
          <w:u w:val="single"/>
        </w:rPr>
        <w:t xml:space="preserve">           </w:t>
      </w:r>
    </w:p>
    <w:p>
      <w:pPr>
        <w:pStyle w:val="10"/>
        <w:tabs>
          <w:tab w:val="left" w:pos="8209"/>
          <w:tab w:val="left" w:pos="8742"/>
          <w:tab w:val="left" w:pos="9169"/>
          <w:tab w:val="left" w:pos="10120"/>
        </w:tabs>
        <w:spacing w:before="132" w:line="364" w:lineRule="auto"/>
        <w:ind w:left="3791" w:leftChars="1800" w:right="277" w:rightChars="132" w:hanging="11"/>
        <w:rPr>
          <w:rFonts w:ascii="宋体" w:hAnsi="宋体" w:eastAsia="宋体" w:cs="宋体"/>
          <w:color w:val="auto"/>
          <w:sz w:val="24"/>
          <w:highlight w:val="none"/>
        </w:rPr>
        <w:sectPr>
          <w:type w:val="continuous"/>
          <w:pgSz w:w="11900" w:h="16838"/>
          <w:pgMar w:top="1440" w:right="1474" w:bottom="1440" w:left="1474" w:header="737" w:footer="737" w:gutter="0"/>
          <w:pgBorders>
            <w:top w:val="none" w:sz="0" w:space="0"/>
            <w:left w:val="none" w:sz="0" w:space="0"/>
            <w:bottom w:val="none" w:sz="0" w:space="0"/>
            <w:right w:val="none" w:sz="0" w:space="0"/>
          </w:pgBorders>
          <w:pgNumType w:fmt="numberInDash"/>
          <w:cols w:space="720" w:num="1"/>
          <w:docGrid w:linePitch="1" w:charSpace="0"/>
        </w:sectPr>
      </w:pPr>
      <w:r>
        <w:rPr>
          <w:rFonts w:hint="eastAsia" w:ascii="宋体" w:hAnsi="宋体" w:eastAsia="宋体" w:cs="宋体"/>
          <w:color w:val="auto"/>
          <w:sz w:val="24"/>
          <w:highlight w:val="none"/>
        </w:rPr>
        <w:t>日  期：</w:t>
      </w:r>
    </w:p>
    <w:p>
      <w:pPr>
        <w:pStyle w:val="4"/>
        <w:spacing w:line="240" w:lineRule="auto"/>
        <w:rPr>
          <w:rFonts w:ascii="宋体" w:hAnsi="宋体" w:eastAsia="宋体"/>
          <w:b w:val="0"/>
          <w:color w:val="auto"/>
          <w:sz w:val="22"/>
          <w:highlight w:val="none"/>
        </w:rPr>
      </w:pPr>
      <w:bookmarkStart w:id="198" w:name="_Toc474769413"/>
      <w:bookmarkStart w:id="199" w:name="_Toc420830619"/>
      <w:bookmarkStart w:id="200" w:name="_Toc352704743"/>
      <w:bookmarkStart w:id="201" w:name="_Toc230773790"/>
      <w:bookmarkStart w:id="202" w:name="_Toc467313843"/>
      <w:r>
        <w:rPr>
          <w:rFonts w:hint="eastAsia" w:ascii="宋体" w:hAnsi="宋体" w:eastAsia="宋体" w:cs="仿宋"/>
          <w:color w:val="auto"/>
          <w:sz w:val="24"/>
          <w:szCs w:val="24"/>
          <w:highlight w:val="none"/>
        </w:rPr>
        <w:t xml:space="preserve">附件五 </w:t>
      </w:r>
      <w:bookmarkEnd w:id="198"/>
      <w:bookmarkEnd w:id="199"/>
      <w:bookmarkEnd w:id="200"/>
      <w:bookmarkEnd w:id="201"/>
      <w:bookmarkEnd w:id="202"/>
      <w:r>
        <w:rPr>
          <w:rFonts w:hint="eastAsia" w:ascii="宋体" w:hAnsi="宋体" w:eastAsia="宋体" w:cs="仿宋"/>
          <w:color w:val="auto"/>
          <w:sz w:val="24"/>
          <w:szCs w:val="24"/>
          <w:highlight w:val="none"/>
        </w:rPr>
        <w:t xml:space="preserve"> 类似项目业绩表</w:t>
      </w:r>
    </w:p>
    <w:p>
      <w:pPr>
        <w:spacing w:line="440" w:lineRule="exact"/>
        <w:jc w:val="center"/>
        <w:rPr>
          <w:rFonts w:ascii="宋体" w:hAnsi="宋体"/>
          <w:color w:val="auto"/>
          <w:sz w:val="28"/>
          <w:szCs w:val="28"/>
          <w:highlight w:val="none"/>
        </w:rPr>
      </w:pPr>
      <w:r>
        <w:rPr>
          <w:rFonts w:hint="eastAsia" w:ascii="宋体" w:hAnsi="宋体" w:cs="仿宋"/>
          <w:b/>
          <w:bCs/>
          <w:color w:val="auto"/>
          <w:sz w:val="24"/>
          <w:highlight w:val="none"/>
        </w:rPr>
        <w:t>类似项目业绩表</w:t>
      </w:r>
    </w:p>
    <w:p>
      <w:pPr>
        <w:spacing w:line="560" w:lineRule="exact"/>
        <w:rPr>
          <w:rFonts w:ascii="宋体" w:hAnsi="宋体"/>
          <w:color w:val="auto"/>
          <w:sz w:val="22"/>
          <w:szCs w:val="22"/>
          <w:highlight w:val="none"/>
        </w:rPr>
      </w:pPr>
      <w:r>
        <w:rPr>
          <w:rFonts w:hint="eastAsia" w:ascii="宋体" w:hAnsi="宋体" w:cs="宋体"/>
          <w:color w:val="auto"/>
          <w:sz w:val="22"/>
          <w:szCs w:val="22"/>
          <w:highlight w:val="none"/>
        </w:rPr>
        <w:t>项目名称：</w:t>
      </w:r>
      <w:r>
        <w:rPr>
          <w:rFonts w:ascii="宋体" w:hAnsi="宋体" w:cs="宋体"/>
          <w:color w:val="auto"/>
          <w:sz w:val="22"/>
          <w:szCs w:val="22"/>
          <w:highlight w:val="none"/>
        </w:rPr>
        <w:t xml:space="preserve">                                               </w:t>
      </w:r>
      <w:r>
        <w:rPr>
          <w:rFonts w:hint="eastAsia" w:ascii="宋体" w:hAnsi="宋体" w:cs="宋体"/>
          <w:color w:val="auto"/>
          <w:sz w:val="22"/>
          <w:szCs w:val="22"/>
          <w:highlight w:val="none"/>
        </w:rPr>
        <w:t>项目编号：</w:t>
      </w:r>
    </w:p>
    <w:tbl>
      <w:tblPr>
        <w:tblStyle w:val="27"/>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192"/>
        <w:gridCol w:w="1984"/>
        <w:gridCol w:w="720"/>
        <w:gridCol w:w="1123"/>
        <w:gridCol w:w="1134"/>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380" w:lineRule="exact"/>
              <w:jc w:val="center"/>
              <w:rPr>
                <w:rFonts w:ascii="宋体" w:hAnsi="宋体"/>
                <w:color w:val="auto"/>
                <w:sz w:val="22"/>
                <w:highlight w:val="none"/>
              </w:rPr>
            </w:pPr>
            <w:r>
              <w:rPr>
                <w:rFonts w:hint="eastAsia" w:ascii="宋体" w:hAnsi="宋体" w:cs="宋体"/>
                <w:color w:val="auto"/>
                <w:sz w:val="22"/>
                <w:szCs w:val="22"/>
                <w:highlight w:val="none"/>
              </w:rPr>
              <w:t>序号</w:t>
            </w:r>
          </w:p>
        </w:tc>
        <w:tc>
          <w:tcPr>
            <w:tcW w:w="2192"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380" w:lineRule="exact"/>
              <w:jc w:val="center"/>
              <w:rPr>
                <w:rFonts w:ascii="宋体" w:hAnsi="宋体"/>
                <w:color w:val="auto"/>
                <w:sz w:val="22"/>
                <w:highlight w:val="none"/>
              </w:rPr>
            </w:pPr>
            <w:r>
              <w:rPr>
                <w:rFonts w:hint="eastAsia" w:ascii="宋体" w:hAnsi="宋体" w:cs="宋体"/>
                <w:color w:val="auto"/>
                <w:sz w:val="22"/>
                <w:szCs w:val="22"/>
                <w:highlight w:val="none"/>
              </w:rPr>
              <w:t>项目名称</w:t>
            </w:r>
          </w:p>
        </w:tc>
        <w:tc>
          <w:tcPr>
            <w:tcW w:w="198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380" w:lineRule="exact"/>
              <w:jc w:val="center"/>
              <w:rPr>
                <w:rFonts w:ascii="宋体" w:hAnsi="宋体"/>
                <w:color w:val="auto"/>
                <w:sz w:val="22"/>
                <w:highlight w:val="none"/>
              </w:rPr>
            </w:pPr>
            <w:r>
              <w:rPr>
                <w:rFonts w:hint="eastAsia" w:ascii="宋体" w:hAnsi="宋体" w:cs="宋体"/>
                <w:color w:val="auto"/>
                <w:sz w:val="22"/>
                <w:szCs w:val="22"/>
                <w:highlight w:val="none"/>
              </w:rPr>
              <w:t>用户单位</w:t>
            </w:r>
          </w:p>
        </w:tc>
        <w:tc>
          <w:tcPr>
            <w:tcW w:w="720"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380" w:lineRule="exact"/>
              <w:jc w:val="center"/>
              <w:rPr>
                <w:rFonts w:ascii="宋体" w:hAnsi="宋体"/>
                <w:color w:val="auto"/>
                <w:sz w:val="22"/>
                <w:highlight w:val="none"/>
              </w:rPr>
            </w:pPr>
            <w:r>
              <w:rPr>
                <w:rFonts w:hint="eastAsia" w:ascii="宋体" w:hAnsi="宋体" w:cs="宋体"/>
                <w:color w:val="auto"/>
                <w:sz w:val="22"/>
                <w:szCs w:val="22"/>
                <w:highlight w:val="none"/>
              </w:rPr>
              <w:t>数量</w:t>
            </w:r>
          </w:p>
        </w:tc>
        <w:tc>
          <w:tcPr>
            <w:tcW w:w="1123"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380" w:lineRule="exact"/>
              <w:jc w:val="center"/>
              <w:rPr>
                <w:rFonts w:ascii="宋体" w:hAnsi="宋体"/>
                <w:color w:val="auto"/>
                <w:sz w:val="22"/>
                <w:highlight w:val="none"/>
              </w:rPr>
            </w:pPr>
            <w:r>
              <w:rPr>
                <w:rFonts w:hint="eastAsia" w:ascii="宋体" w:hAnsi="宋体" w:cs="宋体"/>
                <w:color w:val="auto"/>
                <w:sz w:val="22"/>
                <w:szCs w:val="22"/>
                <w:highlight w:val="none"/>
              </w:rPr>
              <w:t>合同金额</w:t>
            </w:r>
          </w:p>
        </w:tc>
        <w:tc>
          <w:tcPr>
            <w:tcW w:w="113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380" w:lineRule="exact"/>
              <w:jc w:val="center"/>
              <w:rPr>
                <w:rFonts w:ascii="宋体" w:hAnsi="宋体"/>
                <w:color w:val="auto"/>
                <w:sz w:val="22"/>
                <w:highlight w:val="none"/>
              </w:rPr>
            </w:pPr>
            <w:r>
              <w:rPr>
                <w:rFonts w:hint="eastAsia" w:ascii="宋体" w:hAnsi="宋体" w:cs="宋体"/>
                <w:color w:val="auto"/>
                <w:sz w:val="22"/>
                <w:szCs w:val="22"/>
                <w:highlight w:val="none"/>
              </w:rPr>
              <w:t>合同签订时间</w:t>
            </w:r>
          </w:p>
        </w:tc>
        <w:tc>
          <w:tcPr>
            <w:tcW w:w="1727"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380" w:lineRule="exact"/>
              <w:jc w:val="center"/>
              <w:rPr>
                <w:rFonts w:ascii="宋体" w:hAnsi="宋体"/>
                <w:color w:val="auto"/>
                <w:sz w:val="22"/>
                <w:highlight w:val="none"/>
              </w:rPr>
            </w:pPr>
            <w:r>
              <w:rPr>
                <w:rFonts w:hint="eastAsia" w:ascii="宋体" w:hAnsi="宋体" w:cs="宋体"/>
                <w:color w:val="auto"/>
                <w:sz w:val="22"/>
                <w:szCs w:val="22"/>
                <w:highlight w:val="none"/>
              </w:rPr>
              <w:t>用户联系人</w:t>
            </w:r>
            <w:r>
              <w:rPr>
                <w:rFonts w:ascii="宋体" w:hAnsi="宋体" w:cs="宋体"/>
                <w:color w:val="auto"/>
                <w:sz w:val="22"/>
                <w:szCs w:val="22"/>
                <w:highlight w:val="none"/>
              </w:rPr>
              <w:t>/</w:t>
            </w:r>
            <w:r>
              <w:rPr>
                <w:rFonts w:hint="eastAsia" w:ascii="宋体" w:hAnsi="宋体" w:cs="宋体"/>
                <w:color w:val="auto"/>
                <w:sz w:val="22"/>
                <w:szCs w:val="22"/>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21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7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21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7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21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7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21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7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21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7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21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7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21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7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21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7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21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c>
          <w:tcPr>
            <w:tcW w:w="17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highlight w:val="none"/>
              </w:rPr>
            </w:pPr>
          </w:p>
        </w:tc>
      </w:tr>
    </w:tbl>
    <w:p>
      <w:pPr>
        <w:spacing w:line="360" w:lineRule="auto"/>
        <w:ind w:left="755" w:hanging="754" w:hangingChars="343"/>
        <w:rPr>
          <w:rFonts w:ascii="宋体" w:hAnsi="宋体"/>
          <w:color w:val="auto"/>
          <w:sz w:val="22"/>
          <w:szCs w:val="22"/>
          <w:highlight w:val="none"/>
        </w:rPr>
      </w:pPr>
      <w:r>
        <w:rPr>
          <w:rFonts w:hint="eastAsia" w:ascii="宋体" w:hAnsi="宋体" w:cs="宋体"/>
          <w:color w:val="auto"/>
          <w:sz w:val="22"/>
          <w:szCs w:val="22"/>
          <w:highlight w:val="none"/>
        </w:rPr>
        <w:t>注：</w:t>
      </w:r>
      <w:r>
        <w:rPr>
          <w:rFonts w:ascii="宋体" w:hAnsi="宋体" w:cs="宋体"/>
          <w:color w:val="auto"/>
          <w:sz w:val="22"/>
          <w:szCs w:val="22"/>
          <w:highlight w:val="none"/>
        </w:rPr>
        <w:t>1</w:t>
      </w:r>
      <w:r>
        <w:rPr>
          <w:rFonts w:hint="eastAsia" w:ascii="宋体" w:hAnsi="宋体" w:cs="宋体"/>
          <w:color w:val="auto"/>
          <w:sz w:val="22"/>
          <w:szCs w:val="22"/>
          <w:highlight w:val="none"/>
        </w:rPr>
        <w:t>、投标人2018年1月1日以来承揽过的类似安保服务项目业绩</w:t>
      </w:r>
      <w:r>
        <w:rPr>
          <w:rFonts w:ascii="宋体" w:hAnsi="宋体" w:cs="宋体"/>
          <w:color w:val="auto"/>
          <w:sz w:val="22"/>
          <w:szCs w:val="22"/>
          <w:highlight w:val="none"/>
        </w:rPr>
        <w:t>（</w:t>
      </w:r>
      <w:r>
        <w:rPr>
          <w:rFonts w:hint="eastAsia" w:ascii="宋体" w:hAnsi="宋体" w:cs="宋体"/>
          <w:color w:val="auto"/>
          <w:sz w:val="22"/>
          <w:szCs w:val="22"/>
          <w:highlight w:val="none"/>
        </w:rPr>
        <w:t>提供合同复印件加盖公章</w:t>
      </w:r>
      <w:r>
        <w:rPr>
          <w:rFonts w:ascii="宋体" w:hAnsi="宋体" w:cs="宋体"/>
          <w:color w:val="auto"/>
          <w:sz w:val="22"/>
          <w:szCs w:val="22"/>
          <w:highlight w:val="none"/>
        </w:rPr>
        <w:t>）</w:t>
      </w:r>
      <w:r>
        <w:rPr>
          <w:rFonts w:hint="eastAsia" w:ascii="宋体" w:hAnsi="宋体" w:cs="宋体"/>
          <w:color w:val="auto"/>
          <w:sz w:val="22"/>
          <w:szCs w:val="22"/>
          <w:highlight w:val="none"/>
        </w:rPr>
        <w:t>。</w:t>
      </w:r>
    </w:p>
    <w:p>
      <w:pPr>
        <w:spacing w:line="360" w:lineRule="auto"/>
        <w:ind w:firstLine="440" w:firstLineChars="200"/>
        <w:rPr>
          <w:rFonts w:ascii="宋体" w:hAnsi="宋体" w:cs="宋体"/>
          <w:color w:val="auto"/>
          <w:kern w:val="0"/>
          <w:sz w:val="22"/>
          <w:szCs w:val="22"/>
          <w:highlight w:val="none"/>
        </w:rPr>
      </w:pPr>
      <w:r>
        <w:rPr>
          <w:rFonts w:ascii="宋体" w:hAnsi="宋体" w:cs="宋体"/>
          <w:color w:val="auto"/>
          <w:sz w:val="22"/>
          <w:szCs w:val="22"/>
          <w:highlight w:val="none"/>
        </w:rPr>
        <w:t>2</w:t>
      </w:r>
      <w:r>
        <w:rPr>
          <w:rFonts w:hint="eastAsia" w:ascii="宋体" w:hAnsi="宋体" w:cs="宋体"/>
          <w:color w:val="auto"/>
          <w:sz w:val="22"/>
          <w:szCs w:val="22"/>
          <w:highlight w:val="none"/>
        </w:rPr>
        <w:t>、投标人可按此表格式复制。</w:t>
      </w:r>
    </w:p>
    <w:p>
      <w:pPr>
        <w:pStyle w:val="32"/>
        <w:rPr>
          <w:rFonts w:ascii="宋体" w:hAnsi="宋体" w:cs="宋体"/>
          <w:color w:val="auto"/>
          <w:sz w:val="22"/>
          <w:szCs w:val="22"/>
          <w:highlight w:val="none"/>
        </w:rPr>
      </w:pPr>
    </w:p>
    <w:p>
      <w:pPr>
        <w:pStyle w:val="32"/>
        <w:rPr>
          <w:rFonts w:ascii="宋体" w:hAnsi="宋体" w:cs="宋体"/>
          <w:color w:val="auto"/>
          <w:sz w:val="22"/>
          <w:szCs w:val="22"/>
          <w:highlight w:val="none"/>
        </w:rPr>
      </w:pPr>
    </w:p>
    <w:p>
      <w:pPr>
        <w:pStyle w:val="32"/>
        <w:rPr>
          <w:rFonts w:ascii="宋体" w:hAnsi="宋体" w:cs="宋体"/>
          <w:color w:val="auto"/>
          <w:sz w:val="22"/>
          <w:szCs w:val="22"/>
          <w:highlight w:val="none"/>
        </w:rPr>
      </w:pPr>
    </w:p>
    <w:p>
      <w:pPr>
        <w:pStyle w:val="32"/>
        <w:rPr>
          <w:rFonts w:ascii="宋体" w:hAnsi="宋体" w:cs="宋体"/>
          <w:color w:val="auto"/>
          <w:sz w:val="22"/>
          <w:szCs w:val="22"/>
          <w:highlight w:val="none"/>
        </w:rPr>
      </w:pPr>
    </w:p>
    <w:p>
      <w:pPr>
        <w:pStyle w:val="10"/>
        <w:spacing w:line="412" w:lineRule="auto"/>
        <w:ind w:left="107" w:leftChars="51" w:right="272" w:firstLine="3405" w:firstLineChars="1419"/>
        <w:rPr>
          <w:rFonts w:ascii="宋体" w:hAnsi="宋体" w:eastAsia="宋体" w:cs="宋体"/>
          <w:color w:val="auto"/>
          <w:sz w:val="24"/>
          <w:highlight w:val="none"/>
          <w:u w:val="single"/>
        </w:rPr>
      </w:pPr>
      <w:r>
        <w:rPr>
          <w:rFonts w:hint="eastAsia" w:ascii="宋体" w:hAnsi="宋体" w:eastAsia="宋体" w:cs="宋体"/>
          <w:color w:val="auto"/>
          <w:sz w:val="24"/>
          <w:highlight w:val="none"/>
        </w:rPr>
        <w:t>投标人全称（盖章）：</w:t>
      </w:r>
      <w:r>
        <w:rPr>
          <w:rFonts w:hint="eastAsia" w:ascii="宋体" w:hAnsi="宋体" w:eastAsia="宋体" w:cs="宋体"/>
          <w:color w:val="auto"/>
          <w:sz w:val="24"/>
          <w:highlight w:val="none"/>
          <w:u w:val="single"/>
        </w:rPr>
        <w:t xml:space="preserve">                        </w:t>
      </w:r>
    </w:p>
    <w:p>
      <w:pPr>
        <w:pStyle w:val="10"/>
        <w:spacing w:line="412" w:lineRule="auto"/>
        <w:ind w:left="107" w:leftChars="51" w:right="272" w:firstLine="3405" w:firstLineChars="1419"/>
        <w:rPr>
          <w:rFonts w:ascii="宋体" w:hAnsi="宋体" w:eastAsia="宋体" w:cs="宋体"/>
          <w:color w:val="auto"/>
          <w:sz w:val="24"/>
          <w:highlight w:val="none"/>
          <w:u w:val="single"/>
        </w:rPr>
      </w:pPr>
      <w:r>
        <w:rPr>
          <w:rFonts w:hint="eastAsia" w:ascii="宋体" w:hAnsi="宋体" w:eastAsia="宋体" w:cs="宋体"/>
          <w:color w:val="auto"/>
          <w:sz w:val="24"/>
          <w:highlight w:val="none"/>
        </w:rPr>
        <w:t>法定代表人或授权代表（签字或盖章）：</w:t>
      </w:r>
      <w:r>
        <w:rPr>
          <w:rFonts w:hint="eastAsia" w:ascii="宋体" w:hAnsi="宋体" w:eastAsia="宋体" w:cs="宋体"/>
          <w:color w:val="auto"/>
          <w:sz w:val="24"/>
          <w:highlight w:val="none"/>
          <w:u w:val="single"/>
        </w:rPr>
        <w:t xml:space="preserve">              </w:t>
      </w:r>
    </w:p>
    <w:p>
      <w:pPr>
        <w:pStyle w:val="10"/>
        <w:spacing w:line="412" w:lineRule="auto"/>
        <w:ind w:left="107" w:leftChars="51" w:right="272" w:firstLine="3405" w:firstLineChars="1419"/>
        <w:rPr>
          <w:rFonts w:ascii="宋体" w:hAnsi="宋体" w:eastAsia="宋体" w:cs="宋体"/>
          <w:color w:val="auto"/>
          <w:kern w:val="0"/>
          <w:sz w:val="22"/>
          <w:szCs w:val="22"/>
          <w:highlight w:val="none"/>
        </w:rPr>
        <w:sectPr>
          <w:pgSz w:w="11900" w:h="16838"/>
          <w:pgMar w:top="1440" w:right="1474" w:bottom="1440" w:left="1474" w:header="737" w:footer="737" w:gutter="0"/>
          <w:pgBorders>
            <w:top w:val="none" w:sz="0" w:space="0"/>
            <w:left w:val="none" w:sz="0" w:space="0"/>
            <w:bottom w:val="none" w:sz="0" w:space="0"/>
            <w:right w:val="none" w:sz="0" w:space="0"/>
          </w:pgBorders>
          <w:pgNumType w:fmt="numberInDash"/>
          <w:cols w:space="720" w:num="1"/>
          <w:docGrid w:linePitch="1" w:charSpace="0"/>
        </w:sectPr>
      </w:pPr>
      <w:r>
        <w:rPr>
          <w:rFonts w:hint="eastAsia" w:ascii="宋体" w:hAnsi="宋体" w:eastAsia="宋体" w:cs="宋体"/>
          <w:color w:val="auto"/>
          <w:sz w:val="24"/>
          <w:highlight w:val="none"/>
        </w:rPr>
        <w:t>日  期：</w:t>
      </w:r>
    </w:p>
    <w:p>
      <w:pPr>
        <w:spacing w:before="120" w:beforeLines="50" w:after="120" w:afterLines="50"/>
        <w:rPr>
          <w:rFonts w:ascii="宋体" w:hAnsi="宋体" w:cs="宋体"/>
          <w:color w:val="auto"/>
          <w:sz w:val="22"/>
          <w:szCs w:val="22"/>
          <w:highlight w:val="none"/>
        </w:rPr>
      </w:pPr>
      <w:r>
        <w:rPr>
          <w:rFonts w:hint="eastAsia" w:ascii="宋体" w:hAnsi="宋体" w:cs="宋体"/>
          <w:color w:val="auto"/>
          <w:sz w:val="22"/>
          <w:szCs w:val="22"/>
          <w:highlight w:val="none"/>
        </w:rPr>
        <w:t>（商务报价标封面，供参考）</w:t>
      </w:r>
    </w:p>
    <w:p>
      <w:pPr>
        <w:rPr>
          <w:rFonts w:ascii="宋体" w:hAnsi="宋体" w:cs="宋体"/>
          <w:color w:val="auto"/>
          <w:highlight w:val="none"/>
        </w:rPr>
      </w:pPr>
    </w:p>
    <w:p>
      <w:pPr>
        <w:jc w:val="right"/>
        <w:rPr>
          <w:rFonts w:ascii="宋体" w:hAnsi="宋体" w:cs="宋体"/>
          <w:color w:val="auto"/>
          <w:highlight w:val="none"/>
        </w:rPr>
      </w:pPr>
      <w:r>
        <w:rPr>
          <w:rFonts w:hint="eastAsia" w:ascii="宋体" w:hAnsi="宋体" w:cs="宋体"/>
          <w:color w:val="auto"/>
          <w:highlight w:val="none"/>
        </w:rPr>
        <w:t>正/副本</w:t>
      </w:r>
    </w:p>
    <w:p>
      <w:pPr>
        <w:pStyle w:val="10"/>
        <w:rPr>
          <w:rFonts w:ascii="宋体" w:hAnsi="宋体" w:eastAsia="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（项目名称）</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投标文件</w:t>
      </w:r>
    </w:p>
    <w:p>
      <w:pPr>
        <w:rPr>
          <w:rFonts w:ascii="宋体" w:hAnsi="宋体" w:cs="宋体"/>
          <w:color w:val="auto"/>
          <w:sz w:val="28"/>
          <w:szCs w:val="28"/>
          <w:highlight w:val="none"/>
        </w:rPr>
      </w:pPr>
    </w:p>
    <w:p>
      <w:pPr>
        <w:rPr>
          <w:rFonts w:ascii="宋体" w:hAnsi="宋体" w:cs="宋体"/>
          <w:color w:val="auto"/>
          <w:sz w:val="28"/>
          <w:szCs w:val="28"/>
          <w:highlight w:val="none"/>
        </w:rPr>
      </w:pPr>
    </w:p>
    <w:p>
      <w:pPr>
        <w:pStyle w:val="9"/>
        <w:ind w:firstLine="280"/>
        <w:rPr>
          <w:rFonts w:ascii="宋体" w:hAnsi="宋体" w:eastAsia="宋体" w:cs="宋体"/>
          <w:color w:val="auto"/>
          <w:sz w:val="28"/>
          <w:szCs w:val="28"/>
          <w:highlight w:val="none"/>
        </w:rPr>
      </w:pPr>
    </w:p>
    <w:p>
      <w:pPr>
        <w:pStyle w:val="9"/>
        <w:ind w:firstLine="280"/>
        <w:rPr>
          <w:rFonts w:ascii="宋体" w:hAnsi="宋体" w:eastAsia="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jc w:val="center"/>
        <w:rPr>
          <w:rFonts w:ascii="宋体" w:hAnsi="宋体" w:cs="宋体"/>
          <w:color w:val="auto"/>
          <w:sz w:val="52"/>
          <w:szCs w:val="52"/>
          <w:highlight w:val="none"/>
        </w:rPr>
      </w:pPr>
      <w:r>
        <w:rPr>
          <w:rFonts w:hint="eastAsia" w:ascii="宋体" w:hAnsi="宋体" w:cs="宋体"/>
          <w:color w:val="auto"/>
          <w:sz w:val="52"/>
          <w:szCs w:val="52"/>
          <w:highlight w:val="none"/>
        </w:rPr>
        <w:t>商  务  标</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pStyle w:val="2"/>
        <w:rPr>
          <w:rFonts w:ascii="宋体" w:cs="宋体"/>
          <w:color w:val="auto"/>
          <w:szCs w:val="21"/>
          <w:highlight w:val="none"/>
        </w:rPr>
      </w:pPr>
    </w:p>
    <w:p>
      <w:pPr>
        <w:pStyle w:val="2"/>
        <w:rPr>
          <w:rFonts w:ascii="宋体" w:cs="宋体"/>
          <w:color w:val="auto"/>
          <w:szCs w:val="21"/>
          <w:highlight w:val="none"/>
        </w:rPr>
      </w:pPr>
    </w:p>
    <w:p>
      <w:pPr>
        <w:pStyle w:val="2"/>
        <w:rPr>
          <w:rFonts w:ascii="宋体" w:cs="宋体"/>
          <w:color w:val="auto"/>
          <w:szCs w:val="21"/>
          <w:highlight w:val="none"/>
        </w:rPr>
      </w:pPr>
    </w:p>
    <w:p>
      <w:pPr>
        <w:pStyle w:val="2"/>
        <w:rPr>
          <w:rFonts w:ascii="宋体" w:cs="宋体"/>
          <w:color w:val="auto"/>
          <w:szCs w:val="21"/>
          <w:highlight w:val="none"/>
        </w:rPr>
      </w:pPr>
    </w:p>
    <w:p>
      <w:pPr>
        <w:pStyle w:val="2"/>
        <w:rPr>
          <w:rFonts w:ascii="宋体" w:cs="宋体"/>
          <w:color w:val="auto"/>
          <w:szCs w:val="21"/>
          <w:highlight w:val="none"/>
        </w:rPr>
      </w:pPr>
    </w:p>
    <w:p>
      <w:pPr>
        <w:pStyle w:val="2"/>
        <w:rPr>
          <w:rFonts w:ascii="宋体" w:cs="宋体"/>
          <w:color w:val="auto"/>
          <w:szCs w:val="21"/>
          <w:highlight w:val="none"/>
        </w:rPr>
      </w:pPr>
    </w:p>
    <w:p>
      <w:pPr>
        <w:pStyle w:val="2"/>
        <w:rPr>
          <w:rFonts w:ascii="宋体" w:cs="宋体"/>
          <w:color w:val="auto"/>
          <w:szCs w:val="21"/>
          <w:highlight w:val="none"/>
        </w:rPr>
      </w:pPr>
    </w:p>
    <w:p>
      <w:pPr>
        <w:pStyle w:val="2"/>
        <w:rPr>
          <w:rFonts w:ascii="宋体" w:cs="宋体"/>
          <w:color w:val="auto"/>
          <w:szCs w:val="21"/>
          <w:highlight w:val="none"/>
        </w:rPr>
      </w:pPr>
    </w:p>
    <w:p>
      <w:pPr>
        <w:pStyle w:val="2"/>
        <w:rPr>
          <w:rFonts w:ascii="宋体" w:cs="宋体"/>
          <w:color w:val="auto"/>
          <w:szCs w:val="21"/>
          <w:highlight w:val="non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 xml:space="preserve">  投标人：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（盖单位章）</w:t>
      </w:r>
    </w:p>
    <w:p>
      <w:pPr>
        <w:rPr>
          <w:rFonts w:ascii="宋体" w:hAnsi="宋体" w:cs="宋体"/>
          <w:color w:val="auto"/>
          <w:sz w:val="28"/>
          <w:szCs w:val="28"/>
          <w:highlight w:val="none"/>
          <w:u w:val="single"/>
        </w:rPr>
      </w:pPr>
    </w:p>
    <w:p>
      <w:pPr>
        <w:ind w:firstLine="1120" w:firstLineChars="400"/>
        <w:rPr>
          <w:rFonts w:ascii="宋体" w:hAnsi="宋体" w:cs="宋体"/>
          <w:color w:val="auto"/>
          <w:sz w:val="28"/>
          <w:szCs w:val="28"/>
          <w:highlight w:val="none"/>
        </w:rPr>
      </w:pPr>
      <w:r>
        <w:rPr>
          <w:rFonts w:hint="eastAsia" w:ascii="宋体" w:hAnsi="宋体" w:cs="宋体"/>
          <w:color w:val="auto"/>
          <w:sz w:val="28"/>
          <w:szCs w:val="28"/>
          <w:highlight w:val="none"/>
        </w:rPr>
        <w:t>法定代表人或其授权代表：</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（签字或盖章）</w:t>
      </w:r>
    </w:p>
    <w:p>
      <w:pPr>
        <w:rPr>
          <w:rFonts w:ascii="宋体" w:hAnsi="宋体" w:cs="宋体"/>
          <w:color w:val="auto"/>
          <w:sz w:val="28"/>
          <w:szCs w:val="28"/>
          <w:highlight w:val="none"/>
        </w:rPr>
      </w:pPr>
    </w:p>
    <w:p>
      <w:pPr>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p>
    <w:p>
      <w:pPr>
        <w:spacing w:line="360" w:lineRule="auto"/>
        <w:jc w:val="left"/>
        <w:rPr>
          <w:rFonts w:ascii="宋体" w:hAnsi="宋体" w:cs="宋体"/>
          <w:b/>
          <w:bCs/>
          <w:color w:val="auto"/>
          <w:sz w:val="22"/>
          <w:szCs w:val="22"/>
          <w:highlight w:val="none"/>
        </w:rPr>
      </w:pPr>
      <w:r>
        <w:rPr>
          <w:rFonts w:hint="eastAsia" w:ascii="宋体" w:hAnsi="宋体" w:cs="宋体"/>
          <w:color w:val="auto"/>
          <w:sz w:val="22"/>
          <w:szCs w:val="22"/>
          <w:highlight w:val="none"/>
        </w:rPr>
        <w:br w:type="page"/>
      </w:r>
      <w:r>
        <w:rPr>
          <w:rFonts w:hint="eastAsia" w:ascii="宋体" w:hAnsi="宋体" w:cs="宋体"/>
          <w:b/>
          <w:bCs/>
          <w:color w:val="auto"/>
          <w:sz w:val="24"/>
          <w:highlight w:val="none"/>
        </w:rPr>
        <w:t>附件六  开标一览表</w:t>
      </w:r>
    </w:p>
    <w:p>
      <w:pPr>
        <w:overflowPunct w:val="0"/>
        <w:spacing w:line="4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开标一览表</w:t>
      </w:r>
    </w:p>
    <w:p>
      <w:pPr>
        <w:tabs>
          <w:tab w:val="left" w:pos="774"/>
        </w:tabs>
        <w:autoSpaceDE w:val="0"/>
        <w:autoSpaceDN w:val="0"/>
        <w:spacing w:line="276" w:lineRule="auto"/>
        <w:ind w:left="774" w:hanging="576"/>
        <w:jc w:val="center"/>
        <w:outlineLvl w:val="2"/>
        <w:rPr>
          <w:rFonts w:ascii="宋体" w:hAnsi="宋体" w:cs="宋体"/>
          <w:b/>
          <w:color w:val="auto"/>
          <w:sz w:val="28"/>
          <w:szCs w:val="28"/>
          <w:highlight w:val="none"/>
          <w:lang w:val="zh-CN"/>
        </w:rPr>
      </w:pPr>
    </w:p>
    <w:p>
      <w:pPr>
        <w:spacing w:line="380" w:lineRule="exact"/>
        <w:rPr>
          <w:rFonts w:ascii="宋体" w:hAnsi="宋体" w:cs="宋体"/>
          <w:color w:val="auto"/>
          <w:sz w:val="22"/>
          <w:szCs w:val="22"/>
          <w:highlight w:val="none"/>
        </w:rPr>
      </w:pPr>
      <w:r>
        <w:rPr>
          <w:rFonts w:hint="eastAsia" w:ascii="宋体" w:hAnsi="宋体" w:cs="宋体"/>
          <w:color w:val="auto"/>
          <w:sz w:val="22"/>
          <w:szCs w:val="22"/>
          <w:highlight w:val="none"/>
        </w:rPr>
        <w:t>项目编号：                                                 （价格单位：人民币元）</w:t>
      </w:r>
    </w:p>
    <w:tbl>
      <w:tblPr>
        <w:tblStyle w:val="27"/>
        <w:tblW w:w="9461"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4181"/>
        <w:gridCol w:w="198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2" w:hRule="atLeast"/>
        </w:trPr>
        <w:tc>
          <w:tcPr>
            <w:tcW w:w="24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项目名称</w:t>
            </w:r>
          </w:p>
        </w:tc>
        <w:tc>
          <w:tcPr>
            <w:tcW w:w="41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sz w:val="22"/>
                <w:szCs w:val="22"/>
                <w:highlight w:val="none"/>
              </w:rPr>
            </w:pPr>
            <w:r>
              <w:rPr>
                <w:rFonts w:hint="eastAsia" w:ascii="宋体" w:hAnsi="宋体"/>
                <w:color w:val="auto"/>
                <w:sz w:val="22"/>
                <w:szCs w:val="22"/>
                <w:highlight w:val="none"/>
              </w:rPr>
              <w:t>投标报价（元）</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sz w:val="22"/>
                <w:szCs w:val="22"/>
                <w:highlight w:val="none"/>
              </w:rPr>
            </w:pPr>
            <w:r>
              <w:rPr>
                <w:rFonts w:hint="eastAsia" w:ascii="宋体" w:hAnsi="宋体"/>
                <w:color w:val="auto"/>
                <w:sz w:val="22"/>
                <w:szCs w:val="22"/>
                <w:highlight w:val="none"/>
              </w:rPr>
              <w:t>承包期限</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sz w:val="22"/>
                <w:szCs w:val="22"/>
                <w:highlight w:val="none"/>
              </w:rPr>
            </w:pPr>
            <w:r>
              <w:rPr>
                <w:rFonts w:hint="eastAsia" w:ascii="宋体" w:hAnsi="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2" w:hRule="atLeast"/>
        </w:trPr>
        <w:tc>
          <w:tcPr>
            <w:tcW w:w="24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sz w:val="22"/>
                <w:szCs w:val="22"/>
                <w:highlight w:val="none"/>
              </w:rPr>
            </w:pPr>
            <w:r>
              <w:rPr>
                <w:rFonts w:hint="eastAsia" w:ascii="宋体" w:hAnsi="宋体"/>
                <w:color w:val="auto"/>
                <w:sz w:val="22"/>
                <w:szCs w:val="22"/>
                <w:highlight w:val="none"/>
              </w:rPr>
              <w:t>快鹿集团安保服务采购</w:t>
            </w:r>
          </w:p>
        </w:tc>
        <w:tc>
          <w:tcPr>
            <w:tcW w:w="418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2"/>
                <w:szCs w:val="22"/>
                <w:highlight w:val="none"/>
                <w:u w:val="single"/>
              </w:rPr>
            </w:pPr>
            <w:r>
              <w:rPr>
                <w:rFonts w:hint="eastAsia" w:ascii="宋体" w:hAnsi="宋体"/>
                <w:color w:val="auto"/>
                <w:sz w:val="22"/>
                <w:szCs w:val="22"/>
                <w:highlight w:val="none"/>
              </w:rPr>
              <w:t>大写：</w:t>
            </w:r>
            <w:r>
              <w:rPr>
                <w:rFonts w:hint="eastAsia" w:ascii="宋体" w:hAnsi="宋体"/>
                <w:color w:val="auto"/>
                <w:sz w:val="22"/>
                <w:szCs w:val="22"/>
                <w:highlight w:val="none"/>
                <w:u w:val="single"/>
              </w:rPr>
              <w:t xml:space="preserve">                    </w:t>
            </w:r>
          </w:p>
          <w:p>
            <w:pPr>
              <w:spacing w:line="360" w:lineRule="auto"/>
              <w:rPr>
                <w:rFonts w:ascii="宋体" w:hAnsi="宋体"/>
                <w:color w:val="auto"/>
                <w:sz w:val="22"/>
                <w:szCs w:val="22"/>
                <w:highlight w:val="none"/>
                <w:u w:val="single"/>
              </w:rPr>
            </w:pPr>
            <w:r>
              <w:rPr>
                <w:rFonts w:hint="eastAsia" w:ascii="宋体" w:hAnsi="宋体"/>
                <w:color w:val="auto"/>
                <w:sz w:val="22"/>
                <w:szCs w:val="22"/>
                <w:highlight w:val="none"/>
              </w:rPr>
              <w:t>小写：</w:t>
            </w:r>
            <w:r>
              <w:rPr>
                <w:rFonts w:hint="eastAsia" w:ascii="宋体" w:hAnsi="宋体"/>
                <w:color w:val="auto"/>
                <w:sz w:val="22"/>
                <w:szCs w:val="22"/>
                <w:highlight w:val="none"/>
                <w:u w:val="single"/>
              </w:rPr>
              <w:t xml:space="preserve">                    </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sz w:val="22"/>
                <w:szCs w:val="22"/>
                <w:highlight w:val="none"/>
              </w:rPr>
            </w:pPr>
            <w:r>
              <w:rPr>
                <w:rFonts w:hint="eastAsia" w:ascii="宋体" w:hAnsi="宋体"/>
                <w:color w:val="auto"/>
                <w:sz w:val="22"/>
                <w:szCs w:val="22"/>
                <w:highlight w:val="none"/>
              </w:rPr>
              <w:t>1年</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sz w:val="22"/>
                <w:szCs w:val="22"/>
                <w:highlight w:val="none"/>
              </w:rPr>
            </w:pPr>
          </w:p>
        </w:tc>
      </w:tr>
    </w:tbl>
    <w:p>
      <w:pPr>
        <w:spacing w:line="380" w:lineRule="exact"/>
        <w:rPr>
          <w:rFonts w:ascii="宋体" w:hAnsi="宋体" w:cs="宋体"/>
          <w:color w:val="auto"/>
          <w:sz w:val="22"/>
          <w:szCs w:val="22"/>
          <w:highlight w:val="none"/>
        </w:rPr>
      </w:pPr>
    </w:p>
    <w:p>
      <w:pPr>
        <w:spacing w:line="380" w:lineRule="exact"/>
        <w:ind w:left="532" w:leftChars="-171" w:hanging="891" w:hangingChars="405"/>
        <w:rPr>
          <w:rFonts w:ascii="宋体" w:hAnsi="宋体" w:cs="宋体"/>
          <w:strike/>
          <w:color w:val="auto"/>
          <w:sz w:val="22"/>
          <w:szCs w:val="22"/>
          <w:highlight w:val="none"/>
        </w:rPr>
      </w:pPr>
      <w:r>
        <w:rPr>
          <w:rFonts w:hint="eastAsia" w:ascii="宋体" w:hAnsi="宋体" w:cs="宋体"/>
          <w:color w:val="auto"/>
          <w:sz w:val="22"/>
          <w:szCs w:val="22"/>
          <w:highlight w:val="none"/>
        </w:rPr>
        <w:t>说明：1.</w:t>
      </w:r>
      <w:r>
        <w:rPr>
          <w:rFonts w:hint="eastAsia" w:ascii="宋体" w:hAnsi="宋体" w:cs="宋体"/>
          <w:bCs/>
          <w:color w:val="auto"/>
          <w:szCs w:val="21"/>
          <w:highlight w:val="none"/>
        </w:rPr>
        <w:t xml:space="preserve"> 此栏内投标报价应与附件七“投标分项报价表”中合计总价相一致。</w:t>
      </w:r>
    </w:p>
    <w:p>
      <w:pPr>
        <w:spacing w:line="38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2.</w:t>
      </w:r>
      <w:r>
        <w:rPr>
          <w:rFonts w:hint="eastAsia" w:ascii="宋体" w:hAnsi="宋体" w:cs="宋体"/>
          <w:b/>
          <w:color w:val="auto"/>
          <w:szCs w:val="21"/>
          <w:highlight w:val="none"/>
          <w:u w:val="single"/>
        </w:rPr>
        <w:t>▲此表不得自行增减内容，不提供此表格将被视为没有实质性响应采购文件。</w:t>
      </w:r>
    </w:p>
    <w:p>
      <w:pPr>
        <w:spacing w:line="460" w:lineRule="exact"/>
        <w:ind w:firstLine="539" w:firstLineChars="245"/>
        <w:jc w:val="center"/>
        <w:rPr>
          <w:rFonts w:ascii="宋体" w:hAnsi="宋体" w:cs="宋体"/>
          <w:color w:val="auto"/>
          <w:sz w:val="22"/>
          <w:szCs w:val="22"/>
          <w:highlight w:val="none"/>
        </w:rPr>
      </w:pPr>
    </w:p>
    <w:p>
      <w:pPr>
        <w:spacing w:line="480" w:lineRule="auto"/>
        <w:rPr>
          <w:rFonts w:ascii="宋体" w:hAnsi="宋体" w:cs="宋体"/>
          <w:color w:val="auto"/>
          <w:sz w:val="22"/>
          <w:highlight w:val="none"/>
        </w:rPr>
      </w:pPr>
    </w:p>
    <w:p>
      <w:pPr>
        <w:pStyle w:val="10"/>
        <w:spacing w:line="412" w:lineRule="auto"/>
        <w:ind w:left="107" w:leftChars="51" w:right="272" w:firstLine="3405" w:firstLineChars="1419"/>
        <w:rPr>
          <w:rFonts w:ascii="宋体" w:hAnsi="宋体" w:eastAsia="宋体" w:cs="宋体"/>
          <w:color w:val="auto"/>
          <w:sz w:val="24"/>
          <w:highlight w:val="none"/>
          <w:u w:val="single"/>
        </w:rPr>
      </w:pPr>
      <w:r>
        <w:rPr>
          <w:rFonts w:hint="eastAsia" w:ascii="宋体" w:hAnsi="宋体" w:eastAsia="宋体" w:cs="宋体"/>
          <w:color w:val="auto"/>
          <w:sz w:val="24"/>
          <w:highlight w:val="none"/>
        </w:rPr>
        <w:t>投标人全称（盖章）：</w:t>
      </w:r>
      <w:r>
        <w:rPr>
          <w:rFonts w:hint="eastAsia" w:ascii="宋体" w:hAnsi="宋体" w:eastAsia="宋体" w:cs="宋体"/>
          <w:color w:val="auto"/>
          <w:sz w:val="24"/>
          <w:highlight w:val="none"/>
          <w:u w:val="single"/>
        </w:rPr>
        <w:t xml:space="preserve">                        </w:t>
      </w:r>
    </w:p>
    <w:p>
      <w:pPr>
        <w:pStyle w:val="10"/>
        <w:spacing w:line="412" w:lineRule="auto"/>
        <w:ind w:left="107" w:leftChars="51" w:right="272" w:firstLine="3405" w:firstLineChars="1419"/>
        <w:rPr>
          <w:rFonts w:ascii="宋体" w:hAnsi="宋体" w:eastAsia="宋体" w:cs="宋体"/>
          <w:color w:val="auto"/>
          <w:sz w:val="24"/>
          <w:highlight w:val="none"/>
          <w:u w:val="single"/>
        </w:rPr>
      </w:pPr>
      <w:r>
        <w:rPr>
          <w:rFonts w:hint="eastAsia" w:ascii="宋体" w:hAnsi="宋体" w:eastAsia="宋体" w:cs="宋体"/>
          <w:color w:val="auto"/>
          <w:sz w:val="24"/>
          <w:highlight w:val="none"/>
        </w:rPr>
        <w:t>法定代表人或授权代表（签字或盖章）：</w:t>
      </w:r>
      <w:r>
        <w:rPr>
          <w:rFonts w:hint="eastAsia" w:ascii="宋体" w:hAnsi="宋体" w:eastAsia="宋体" w:cs="宋体"/>
          <w:color w:val="auto"/>
          <w:sz w:val="24"/>
          <w:highlight w:val="none"/>
          <w:u w:val="single"/>
        </w:rPr>
        <w:t xml:space="preserve">              </w:t>
      </w:r>
    </w:p>
    <w:p>
      <w:pPr>
        <w:pStyle w:val="10"/>
        <w:spacing w:line="412" w:lineRule="auto"/>
        <w:ind w:left="107" w:leftChars="51" w:right="272" w:firstLine="3405" w:firstLineChars="1419"/>
        <w:rPr>
          <w:rFonts w:ascii="宋体" w:hAnsi="宋体" w:eastAsia="宋体" w:cs="宋体"/>
          <w:color w:val="auto"/>
          <w:kern w:val="0"/>
          <w:sz w:val="22"/>
          <w:szCs w:val="22"/>
          <w:highlight w:val="none"/>
        </w:rPr>
        <w:sectPr>
          <w:pgSz w:w="11900" w:h="16838"/>
          <w:pgMar w:top="1440" w:right="1474" w:bottom="1440" w:left="1474" w:header="737" w:footer="737" w:gutter="0"/>
          <w:pgBorders>
            <w:top w:val="none" w:sz="0" w:space="0"/>
            <w:left w:val="none" w:sz="0" w:space="0"/>
            <w:bottom w:val="none" w:sz="0" w:space="0"/>
            <w:right w:val="none" w:sz="0" w:space="0"/>
          </w:pgBorders>
          <w:pgNumType w:fmt="numberInDash"/>
          <w:cols w:space="720" w:num="1"/>
          <w:docGrid w:linePitch="1" w:charSpace="0"/>
        </w:sectPr>
      </w:pPr>
      <w:r>
        <w:rPr>
          <w:rFonts w:hint="eastAsia" w:ascii="宋体" w:hAnsi="宋体" w:eastAsia="宋体" w:cs="宋体"/>
          <w:color w:val="auto"/>
          <w:sz w:val="24"/>
          <w:highlight w:val="none"/>
        </w:rPr>
        <w:t>日  期：</w:t>
      </w:r>
    </w:p>
    <w:p>
      <w:pPr>
        <w:pStyle w:val="4"/>
        <w:spacing w:line="240" w:lineRule="auto"/>
        <w:rPr>
          <w:rFonts w:ascii="宋体" w:hAnsi="宋体" w:eastAsia="宋体"/>
          <w:color w:val="auto"/>
          <w:sz w:val="24"/>
          <w:szCs w:val="24"/>
          <w:highlight w:val="none"/>
        </w:rPr>
      </w:pPr>
      <w:bookmarkStart w:id="203" w:name="_Toc218392090"/>
      <w:bookmarkStart w:id="204" w:name="_Toc195336281"/>
      <w:bookmarkStart w:id="205" w:name="_Toc511308241"/>
      <w:bookmarkStart w:id="206" w:name="_Toc351809633"/>
      <w:bookmarkStart w:id="207" w:name="_Toc345161250"/>
      <w:bookmarkStart w:id="208" w:name="_Toc230773786"/>
      <w:r>
        <w:rPr>
          <w:rFonts w:hint="eastAsia" w:ascii="宋体" w:hAnsi="宋体" w:eastAsia="宋体"/>
          <w:color w:val="auto"/>
          <w:sz w:val="24"/>
          <w:szCs w:val="24"/>
          <w:highlight w:val="none"/>
        </w:rPr>
        <w:t>附件</w:t>
      </w:r>
      <w:bookmarkEnd w:id="203"/>
      <w:bookmarkEnd w:id="204"/>
      <w:r>
        <w:rPr>
          <w:rFonts w:hint="eastAsia" w:ascii="宋体" w:hAnsi="宋体" w:eastAsia="宋体"/>
          <w:color w:val="auto"/>
          <w:sz w:val="24"/>
          <w:szCs w:val="24"/>
          <w:highlight w:val="none"/>
        </w:rPr>
        <w:t>七 投标分项报价表</w:t>
      </w:r>
      <w:bookmarkEnd w:id="205"/>
      <w:bookmarkEnd w:id="206"/>
      <w:bookmarkEnd w:id="207"/>
      <w:bookmarkEnd w:id="208"/>
    </w:p>
    <w:p>
      <w:pPr>
        <w:pStyle w:val="32"/>
        <w:jc w:val="center"/>
        <w:rPr>
          <w:rFonts w:ascii="宋体" w:hAnsi="宋体"/>
          <w:b/>
          <w:bCs/>
          <w:color w:val="auto"/>
          <w:sz w:val="28"/>
          <w:szCs w:val="28"/>
          <w:highlight w:val="none"/>
        </w:rPr>
      </w:pPr>
      <w:r>
        <w:rPr>
          <w:rFonts w:hint="eastAsia" w:ascii="宋体" w:hAnsi="宋体"/>
          <w:b/>
          <w:bCs/>
          <w:color w:val="auto"/>
          <w:sz w:val="28"/>
          <w:szCs w:val="28"/>
          <w:highlight w:val="none"/>
        </w:rPr>
        <w:t>投标分项报价表</w:t>
      </w:r>
    </w:p>
    <w:p>
      <w:pPr>
        <w:pStyle w:val="32"/>
        <w:jc w:val="center"/>
        <w:rPr>
          <w:rFonts w:ascii="宋体" w:hAnsi="宋体"/>
          <w:b/>
          <w:bCs/>
          <w:color w:val="auto"/>
          <w:sz w:val="28"/>
          <w:szCs w:val="28"/>
          <w:highlight w:val="none"/>
        </w:rPr>
      </w:pPr>
    </w:p>
    <w:p>
      <w:pPr>
        <w:pStyle w:val="32"/>
        <w:rPr>
          <w:color w:val="auto"/>
          <w:highlight w:val="none"/>
        </w:rPr>
      </w:pPr>
      <w:r>
        <w:rPr>
          <w:rFonts w:hint="eastAsia" w:ascii="宋体" w:hAnsi="宋体"/>
          <w:b/>
          <w:bCs/>
          <w:color w:val="auto"/>
          <w:sz w:val="22"/>
          <w:szCs w:val="22"/>
          <w:highlight w:val="none"/>
        </w:rPr>
        <w:t xml:space="preserve">项目名称： </w:t>
      </w:r>
      <w:r>
        <w:rPr>
          <w:rFonts w:hint="eastAsia" w:ascii="宋体" w:hAnsi="宋体"/>
          <w:color w:val="auto"/>
          <w:sz w:val="22"/>
          <w:szCs w:val="22"/>
          <w:highlight w:val="none"/>
        </w:rPr>
        <w:t xml:space="preserve">                         </w:t>
      </w:r>
      <w:r>
        <w:rPr>
          <w:rFonts w:hint="eastAsia" w:ascii="宋体" w:hAnsi="宋体"/>
          <w:b/>
          <w:bCs/>
          <w:color w:val="auto"/>
          <w:sz w:val="22"/>
          <w:szCs w:val="22"/>
          <w:highlight w:val="none"/>
        </w:rPr>
        <w:t xml:space="preserve">项目编号：              </w:t>
      </w:r>
      <w:r>
        <w:rPr>
          <w:rFonts w:ascii="宋体" w:hAnsi="宋体"/>
          <w:color w:val="auto"/>
          <w:sz w:val="22"/>
          <w:szCs w:val="22"/>
          <w:highlight w:val="none"/>
        </w:rPr>
        <w:t>（价格单位：人民币元）</w:t>
      </w:r>
    </w:p>
    <w:tbl>
      <w:tblPr>
        <w:tblStyle w:val="27"/>
        <w:tblW w:w="9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90"/>
        <w:gridCol w:w="2432"/>
        <w:gridCol w:w="1417"/>
        <w:gridCol w:w="1516"/>
        <w:gridCol w:w="1250"/>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604" w:type="dxa"/>
            <w:vAlign w:val="center"/>
          </w:tcPr>
          <w:p>
            <w:pPr>
              <w:tabs>
                <w:tab w:val="left" w:pos="1620"/>
              </w:tabs>
              <w:spacing w:line="360" w:lineRule="exact"/>
              <w:jc w:val="center"/>
              <w:rPr>
                <w:rFonts w:ascii="宋体" w:hAnsi="宋体" w:cs="仿宋"/>
                <w:b/>
                <w:color w:val="auto"/>
                <w:sz w:val="22"/>
                <w:szCs w:val="22"/>
                <w:highlight w:val="none"/>
              </w:rPr>
            </w:pPr>
            <w:r>
              <w:rPr>
                <w:rFonts w:hint="eastAsia" w:ascii="宋体" w:hAnsi="宋体" w:cs="仿宋"/>
                <w:b/>
                <w:color w:val="auto"/>
                <w:sz w:val="22"/>
                <w:szCs w:val="22"/>
                <w:highlight w:val="none"/>
              </w:rPr>
              <w:t>序号</w:t>
            </w:r>
          </w:p>
        </w:tc>
        <w:tc>
          <w:tcPr>
            <w:tcW w:w="690" w:type="dxa"/>
            <w:vAlign w:val="center"/>
          </w:tcPr>
          <w:p>
            <w:pPr>
              <w:tabs>
                <w:tab w:val="left" w:pos="1620"/>
              </w:tabs>
              <w:spacing w:line="360" w:lineRule="exact"/>
              <w:jc w:val="center"/>
              <w:rPr>
                <w:rFonts w:ascii="宋体" w:hAnsi="宋体" w:cs="仿宋"/>
                <w:b/>
                <w:color w:val="auto"/>
                <w:sz w:val="22"/>
                <w:szCs w:val="22"/>
                <w:highlight w:val="none"/>
              </w:rPr>
            </w:pPr>
          </w:p>
        </w:tc>
        <w:tc>
          <w:tcPr>
            <w:tcW w:w="2432" w:type="dxa"/>
            <w:vAlign w:val="center"/>
          </w:tcPr>
          <w:p>
            <w:pPr>
              <w:tabs>
                <w:tab w:val="left" w:pos="1620"/>
              </w:tabs>
              <w:spacing w:line="360" w:lineRule="exact"/>
              <w:jc w:val="center"/>
              <w:rPr>
                <w:rFonts w:ascii="宋体" w:hAnsi="宋体" w:cs="仿宋"/>
                <w:b/>
                <w:color w:val="auto"/>
                <w:sz w:val="22"/>
                <w:szCs w:val="22"/>
                <w:highlight w:val="none"/>
              </w:rPr>
            </w:pPr>
            <w:r>
              <w:rPr>
                <w:rFonts w:hint="eastAsia" w:ascii="宋体" w:hAnsi="宋体" w:cs="仿宋"/>
                <w:b/>
                <w:color w:val="auto"/>
                <w:sz w:val="22"/>
                <w:szCs w:val="22"/>
                <w:highlight w:val="none"/>
              </w:rPr>
              <w:t>内    容</w:t>
            </w:r>
          </w:p>
        </w:tc>
        <w:tc>
          <w:tcPr>
            <w:tcW w:w="1417" w:type="dxa"/>
            <w:vAlign w:val="center"/>
          </w:tcPr>
          <w:p>
            <w:pPr>
              <w:tabs>
                <w:tab w:val="left" w:pos="1620"/>
              </w:tabs>
              <w:spacing w:line="360" w:lineRule="exact"/>
              <w:jc w:val="center"/>
              <w:rPr>
                <w:rFonts w:ascii="宋体" w:hAnsi="宋体" w:cs="仿宋"/>
                <w:b/>
                <w:color w:val="auto"/>
                <w:sz w:val="22"/>
                <w:szCs w:val="22"/>
                <w:highlight w:val="none"/>
              </w:rPr>
            </w:pPr>
            <w:r>
              <w:rPr>
                <w:rFonts w:hint="eastAsia" w:ascii="宋体" w:hAnsi="宋体" w:cs="仿宋"/>
                <w:b/>
                <w:color w:val="auto"/>
                <w:sz w:val="22"/>
                <w:szCs w:val="22"/>
                <w:highlight w:val="none"/>
              </w:rPr>
              <w:t>数量/单位</w:t>
            </w:r>
          </w:p>
        </w:tc>
        <w:tc>
          <w:tcPr>
            <w:tcW w:w="1516" w:type="dxa"/>
            <w:vAlign w:val="center"/>
          </w:tcPr>
          <w:p>
            <w:pPr>
              <w:tabs>
                <w:tab w:val="left" w:pos="1620"/>
              </w:tabs>
              <w:spacing w:line="360" w:lineRule="exact"/>
              <w:jc w:val="center"/>
              <w:rPr>
                <w:rFonts w:ascii="宋体" w:hAnsi="宋体" w:cs="仿宋"/>
                <w:b/>
                <w:color w:val="auto"/>
                <w:sz w:val="22"/>
                <w:szCs w:val="22"/>
                <w:highlight w:val="none"/>
              </w:rPr>
            </w:pPr>
            <w:r>
              <w:rPr>
                <w:rFonts w:hint="eastAsia" w:ascii="宋体" w:hAnsi="宋体" w:cs="仿宋"/>
                <w:b/>
                <w:color w:val="auto"/>
                <w:sz w:val="22"/>
                <w:szCs w:val="22"/>
                <w:highlight w:val="none"/>
              </w:rPr>
              <w:t>单价</w:t>
            </w:r>
          </w:p>
        </w:tc>
        <w:tc>
          <w:tcPr>
            <w:tcW w:w="1250" w:type="dxa"/>
            <w:vAlign w:val="center"/>
          </w:tcPr>
          <w:p>
            <w:pPr>
              <w:tabs>
                <w:tab w:val="left" w:pos="1620"/>
              </w:tabs>
              <w:spacing w:line="360" w:lineRule="exact"/>
              <w:jc w:val="center"/>
              <w:rPr>
                <w:rFonts w:ascii="宋体" w:hAnsi="宋体" w:cs="仿宋"/>
                <w:b/>
                <w:color w:val="auto"/>
                <w:sz w:val="22"/>
                <w:szCs w:val="22"/>
                <w:highlight w:val="none"/>
              </w:rPr>
            </w:pPr>
            <w:r>
              <w:rPr>
                <w:rFonts w:hint="eastAsia" w:ascii="宋体" w:hAnsi="宋体" w:cs="仿宋"/>
                <w:b/>
                <w:color w:val="auto"/>
                <w:sz w:val="22"/>
                <w:szCs w:val="22"/>
                <w:highlight w:val="none"/>
              </w:rPr>
              <w:t>合价</w:t>
            </w:r>
          </w:p>
        </w:tc>
        <w:tc>
          <w:tcPr>
            <w:tcW w:w="1228" w:type="dxa"/>
            <w:vAlign w:val="center"/>
          </w:tcPr>
          <w:p>
            <w:pPr>
              <w:tabs>
                <w:tab w:val="left" w:pos="1620"/>
              </w:tabs>
              <w:spacing w:line="360" w:lineRule="exact"/>
              <w:jc w:val="center"/>
              <w:rPr>
                <w:rFonts w:ascii="宋体" w:hAnsi="宋体" w:cs="仿宋"/>
                <w:b/>
                <w:color w:val="auto"/>
                <w:sz w:val="22"/>
                <w:szCs w:val="22"/>
                <w:highlight w:val="none"/>
              </w:rPr>
            </w:pPr>
            <w:r>
              <w:rPr>
                <w:rFonts w:hint="eastAsia" w:ascii="宋体" w:hAnsi="宋体" w:cs="仿宋"/>
                <w:b/>
                <w:color w:val="auto"/>
                <w:sz w:val="22"/>
                <w:szCs w:val="22"/>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4" w:type="dxa"/>
            <w:vMerge w:val="restart"/>
            <w:vAlign w:val="center"/>
          </w:tcPr>
          <w:p>
            <w:pPr>
              <w:tabs>
                <w:tab w:val="left" w:pos="1620"/>
              </w:tabs>
              <w:spacing w:line="360" w:lineRule="exact"/>
              <w:jc w:val="center"/>
              <w:rPr>
                <w:rFonts w:ascii="宋体" w:hAnsi="宋体" w:cs="仿宋"/>
                <w:color w:val="auto"/>
                <w:sz w:val="22"/>
                <w:szCs w:val="22"/>
                <w:highlight w:val="none"/>
              </w:rPr>
            </w:pPr>
            <w:r>
              <w:rPr>
                <w:rFonts w:hint="eastAsia" w:ascii="宋体" w:hAnsi="宋体" w:cs="仿宋"/>
                <w:color w:val="auto"/>
                <w:sz w:val="22"/>
                <w:szCs w:val="22"/>
                <w:highlight w:val="none"/>
              </w:rPr>
              <w:t>1</w:t>
            </w:r>
          </w:p>
        </w:tc>
        <w:tc>
          <w:tcPr>
            <w:tcW w:w="690" w:type="dxa"/>
            <w:vMerge w:val="restart"/>
            <w:vAlign w:val="center"/>
          </w:tcPr>
          <w:p>
            <w:pPr>
              <w:tabs>
                <w:tab w:val="left" w:pos="1050"/>
                <w:tab w:val="left" w:pos="1260"/>
                <w:tab w:val="left" w:pos="1620"/>
              </w:tabs>
              <w:spacing w:line="360" w:lineRule="exact"/>
              <w:ind w:right="-107" w:rightChars="-51"/>
              <w:jc w:val="center"/>
              <w:rPr>
                <w:rFonts w:ascii="宋体" w:hAnsi="宋体" w:cs="仿宋"/>
                <w:color w:val="auto"/>
                <w:sz w:val="22"/>
                <w:szCs w:val="22"/>
                <w:highlight w:val="none"/>
              </w:rPr>
            </w:pPr>
            <w:r>
              <w:rPr>
                <w:rFonts w:hint="eastAsia" w:ascii="宋体" w:hAnsi="宋体" w:cs="仿宋"/>
                <w:color w:val="auto"/>
                <w:sz w:val="22"/>
                <w:szCs w:val="22"/>
                <w:highlight w:val="none"/>
              </w:rPr>
              <w:t>人员费用</w:t>
            </w:r>
          </w:p>
        </w:tc>
        <w:tc>
          <w:tcPr>
            <w:tcW w:w="2432" w:type="dxa"/>
            <w:vAlign w:val="center"/>
          </w:tcPr>
          <w:p>
            <w:pPr>
              <w:tabs>
                <w:tab w:val="left" w:pos="1050"/>
                <w:tab w:val="left" w:pos="1260"/>
                <w:tab w:val="left" w:pos="1620"/>
              </w:tabs>
              <w:spacing w:line="360" w:lineRule="exact"/>
              <w:ind w:left="-107" w:leftChars="-51" w:right="-107" w:rightChars="-51"/>
              <w:jc w:val="center"/>
              <w:rPr>
                <w:rFonts w:ascii="宋体" w:hAnsi="宋体" w:cs="仿宋"/>
                <w:color w:val="auto"/>
                <w:sz w:val="22"/>
                <w:szCs w:val="22"/>
                <w:highlight w:val="none"/>
              </w:rPr>
            </w:pPr>
            <w:r>
              <w:rPr>
                <w:rFonts w:hint="eastAsia" w:ascii="宋体" w:hAnsi="宋体" w:cs="仿宋"/>
                <w:color w:val="auto"/>
                <w:sz w:val="22"/>
                <w:szCs w:val="22"/>
                <w:highlight w:val="none"/>
              </w:rPr>
              <w:t>日常人员工资</w:t>
            </w:r>
          </w:p>
        </w:tc>
        <w:tc>
          <w:tcPr>
            <w:tcW w:w="1417" w:type="dxa"/>
            <w:vAlign w:val="center"/>
          </w:tcPr>
          <w:p>
            <w:pPr>
              <w:tabs>
                <w:tab w:val="left" w:pos="1620"/>
              </w:tabs>
              <w:spacing w:line="360" w:lineRule="exact"/>
              <w:jc w:val="center"/>
              <w:rPr>
                <w:rFonts w:ascii="宋体" w:hAnsi="宋体" w:cs="仿宋"/>
                <w:color w:val="auto"/>
                <w:sz w:val="22"/>
                <w:szCs w:val="22"/>
                <w:highlight w:val="none"/>
              </w:rPr>
            </w:pPr>
            <w:r>
              <w:rPr>
                <w:rFonts w:hint="eastAsia" w:ascii="宋体" w:hAnsi="宋体" w:cs="仿宋"/>
                <w:color w:val="auto"/>
                <w:sz w:val="22"/>
                <w:szCs w:val="22"/>
                <w:highlight w:val="none"/>
              </w:rPr>
              <w:t xml:space="preserve"> </w:t>
            </w:r>
          </w:p>
          <w:p>
            <w:pPr>
              <w:tabs>
                <w:tab w:val="left" w:pos="1620"/>
              </w:tabs>
              <w:spacing w:line="360" w:lineRule="exact"/>
              <w:jc w:val="center"/>
              <w:rPr>
                <w:rFonts w:ascii="宋体" w:hAnsi="宋体" w:cs="仿宋"/>
                <w:color w:val="auto"/>
                <w:sz w:val="22"/>
                <w:szCs w:val="22"/>
                <w:highlight w:val="none"/>
              </w:rPr>
            </w:pPr>
            <w:r>
              <w:rPr>
                <w:rFonts w:hint="eastAsia" w:ascii="宋体" w:hAnsi="宋体" w:cs="仿宋"/>
                <w:color w:val="auto"/>
                <w:sz w:val="22"/>
                <w:szCs w:val="22"/>
                <w:highlight w:val="none"/>
              </w:rPr>
              <w:t xml:space="preserve"> </w:t>
            </w:r>
          </w:p>
        </w:tc>
        <w:tc>
          <w:tcPr>
            <w:tcW w:w="1516" w:type="dxa"/>
            <w:vAlign w:val="center"/>
          </w:tcPr>
          <w:p>
            <w:pPr>
              <w:tabs>
                <w:tab w:val="left" w:pos="1620"/>
              </w:tabs>
              <w:spacing w:line="360" w:lineRule="exact"/>
              <w:jc w:val="center"/>
              <w:rPr>
                <w:rFonts w:ascii="宋体" w:hAnsi="宋体" w:cs="仿宋"/>
                <w:color w:val="auto"/>
                <w:sz w:val="22"/>
                <w:szCs w:val="22"/>
                <w:highlight w:val="none"/>
              </w:rPr>
            </w:pPr>
          </w:p>
        </w:tc>
        <w:tc>
          <w:tcPr>
            <w:tcW w:w="1250" w:type="dxa"/>
            <w:vAlign w:val="center"/>
          </w:tcPr>
          <w:p>
            <w:pPr>
              <w:tabs>
                <w:tab w:val="left" w:pos="1620"/>
              </w:tabs>
              <w:spacing w:line="360" w:lineRule="exact"/>
              <w:jc w:val="center"/>
              <w:rPr>
                <w:rFonts w:ascii="宋体" w:hAnsi="宋体" w:cs="仿宋"/>
                <w:color w:val="auto"/>
                <w:sz w:val="22"/>
                <w:szCs w:val="22"/>
                <w:highlight w:val="none"/>
              </w:rPr>
            </w:pPr>
          </w:p>
        </w:tc>
        <w:tc>
          <w:tcPr>
            <w:tcW w:w="1228" w:type="dxa"/>
            <w:vAlign w:val="center"/>
          </w:tcPr>
          <w:p>
            <w:pPr>
              <w:tabs>
                <w:tab w:val="left" w:pos="1620"/>
              </w:tabs>
              <w:spacing w:line="360" w:lineRule="exact"/>
              <w:rPr>
                <w:rFonts w:ascii="宋体" w:hAnsi="宋体"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604" w:type="dxa"/>
            <w:vMerge w:val="continue"/>
            <w:vAlign w:val="center"/>
          </w:tcPr>
          <w:p>
            <w:pPr>
              <w:tabs>
                <w:tab w:val="left" w:pos="1620"/>
              </w:tabs>
              <w:spacing w:line="360" w:lineRule="exact"/>
              <w:jc w:val="center"/>
              <w:rPr>
                <w:rFonts w:ascii="宋体" w:hAnsi="宋体" w:cs="仿宋"/>
                <w:color w:val="auto"/>
                <w:sz w:val="22"/>
                <w:szCs w:val="22"/>
                <w:highlight w:val="none"/>
              </w:rPr>
            </w:pPr>
          </w:p>
        </w:tc>
        <w:tc>
          <w:tcPr>
            <w:tcW w:w="690" w:type="dxa"/>
            <w:vMerge w:val="continue"/>
            <w:vAlign w:val="center"/>
          </w:tcPr>
          <w:p>
            <w:pPr>
              <w:tabs>
                <w:tab w:val="left" w:pos="1050"/>
                <w:tab w:val="left" w:pos="1260"/>
                <w:tab w:val="left" w:pos="1620"/>
              </w:tabs>
              <w:spacing w:line="360" w:lineRule="exact"/>
              <w:ind w:right="-107" w:rightChars="-51"/>
              <w:jc w:val="center"/>
              <w:rPr>
                <w:rFonts w:ascii="宋体" w:hAnsi="宋体" w:cs="仿宋"/>
                <w:color w:val="auto"/>
                <w:sz w:val="22"/>
                <w:szCs w:val="22"/>
                <w:highlight w:val="none"/>
              </w:rPr>
            </w:pPr>
          </w:p>
        </w:tc>
        <w:tc>
          <w:tcPr>
            <w:tcW w:w="2432" w:type="dxa"/>
            <w:vAlign w:val="center"/>
          </w:tcPr>
          <w:p>
            <w:pPr>
              <w:tabs>
                <w:tab w:val="left" w:pos="1050"/>
                <w:tab w:val="left" w:pos="1260"/>
                <w:tab w:val="left" w:pos="1620"/>
              </w:tabs>
              <w:spacing w:line="360" w:lineRule="exact"/>
              <w:ind w:right="-107" w:rightChars="-51" w:firstLine="660" w:firstLineChars="300"/>
              <w:rPr>
                <w:rFonts w:ascii="宋体" w:hAnsi="宋体" w:cs="仿宋"/>
                <w:color w:val="auto"/>
                <w:sz w:val="22"/>
                <w:szCs w:val="22"/>
                <w:highlight w:val="none"/>
              </w:rPr>
            </w:pPr>
            <w:r>
              <w:rPr>
                <w:rFonts w:hint="eastAsia" w:ascii="宋体" w:hAnsi="宋体" w:cs="仿宋"/>
                <w:color w:val="auto"/>
                <w:sz w:val="22"/>
                <w:szCs w:val="22"/>
                <w:highlight w:val="none"/>
              </w:rPr>
              <w:t>全年奖金</w:t>
            </w:r>
          </w:p>
        </w:tc>
        <w:tc>
          <w:tcPr>
            <w:tcW w:w="1417" w:type="dxa"/>
            <w:vAlign w:val="center"/>
          </w:tcPr>
          <w:p>
            <w:pPr>
              <w:tabs>
                <w:tab w:val="left" w:pos="1620"/>
              </w:tabs>
              <w:spacing w:line="360" w:lineRule="exact"/>
              <w:jc w:val="center"/>
              <w:rPr>
                <w:rFonts w:ascii="宋体" w:hAnsi="宋体" w:cs="仿宋"/>
                <w:color w:val="auto"/>
                <w:sz w:val="22"/>
                <w:szCs w:val="22"/>
                <w:highlight w:val="none"/>
              </w:rPr>
            </w:pPr>
          </w:p>
        </w:tc>
        <w:tc>
          <w:tcPr>
            <w:tcW w:w="1516" w:type="dxa"/>
            <w:vAlign w:val="center"/>
          </w:tcPr>
          <w:p>
            <w:pPr>
              <w:tabs>
                <w:tab w:val="left" w:pos="1620"/>
              </w:tabs>
              <w:spacing w:line="360" w:lineRule="exact"/>
              <w:jc w:val="center"/>
              <w:rPr>
                <w:rFonts w:ascii="宋体" w:hAnsi="宋体" w:cs="仿宋"/>
                <w:color w:val="auto"/>
                <w:sz w:val="22"/>
                <w:szCs w:val="22"/>
                <w:highlight w:val="none"/>
              </w:rPr>
            </w:pPr>
          </w:p>
        </w:tc>
        <w:tc>
          <w:tcPr>
            <w:tcW w:w="1250" w:type="dxa"/>
            <w:vAlign w:val="center"/>
          </w:tcPr>
          <w:p>
            <w:pPr>
              <w:tabs>
                <w:tab w:val="left" w:pos="1620"/>
              </w:tabs>
              <w:spacing w:line="360" w:lineRule="exact"/>
              <w:jc w:val="center"/>
              <w:rPr>
                <w:rFonts w:ascii="宋体" w:hAnsi="宋体" w:cs="仿宋"/>
                <w:color w:val="auto"/>
                <w:sz w:val="22"/>
                <w:szCs w:val="22"/>
                <w:highlight w:val="none"/>
              </w:rPr>
            </w:pPr>
          </w:p>
        </w:tc>
        <w:tc>
          <w:tcPr>
            <w:tcW w:w="1228" w:type="dxa"/>
            <w:vMerge w:val="restart"/>
            <w:vAlign w:val="center"/>
          </w:tcPr>
          <w:p>
            <w:pPr>
              <w:tabs>
                <w:tab w:val="left" w:pos="1620"/>
              </w:tabs>
              <w:spacing w:line="360" w:lineRule="exact"/>
              <w:jc w:val="center"/>
              <w:rPr>
                <w:rFonts w:ascii="宋体" w:hAnsi="宋体" w:cs="仿宋"/>
                <w:color w:val="auto"/>
                <w:sz w:val="22"/>
                <w:szCs w:val="22"/>
                <w:highlight w:val="none"/>
              </w:rPr>
            </w:pPr>
            <w:r>
              <w:rPr>
                <w:rFonts w:hint="eastAsia" w:ascii="宋体" w:hAnsi="宋体" w:cs="仿宋"/>
                <w:color w:val="auto"/>
                <w:sz w:val="22"/>
                <w:szCs w:val="22"/>
                <w:highlight w:val="none"/>
              </w:rPr>
              <w:t>可分别详细列出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604" w:type="dxa"/>
            <w:vMerge w:val="continue"/>
            <w:vAlign w:val="center"/>
          </w:tcPr>
          <w:p>
            <w:pPr>
              <w:tabs>
                <w:tab w:val="left" w:pos="1620"/>
              </w:tabs>
              <w:spacing w:line="360" w:lineRule="exact"/>
              <w:jc w:val="center"/>
              <w:rPr>
                <w:rFonts w:ascii="宋体" w:hAnsi="宋体" w:cs="仿宋"/>
                <w:color w:val="auto"/>
                <w:sz w:val="22"/>
                <w:szCs w:val="22"/>
                <w:highlight w:val="none"/>
              </w:rPr>
            </w:pPr>
          </w:p>
        </w:tc>
        <w:tc>
          <w:tcPr>
            <w:tcW w:w="690" w:type="dxa"/>
            <w:vMerge w:val="continue"/>
            <w:vAlign w:val="center"/>
          </w:tcPr>
          <w:p>
            <w:pPr>
              <w:tabs>
                <w:tab w:val="left" w:pos="1050"/>
                <w:tab w:val="left" w:pos="1260"/>
                <w:tab w:val="left" w:pos="1620"/>
              </w:tabs>
              <w:spacing w:line="360" w:lineRule="exact"/>
              <w:ind w:right="-107" w:rightChars="-51"/>
              <w:jc w:val="center"/>
              <w:rPr>
                <w:rFonts w:ascii="宋体" w:hAnsi="宋体" w:cs="仿宋"/>
                <w:color w:val="auto"/>
                <w:sz w:val="22"/>
                <w:szCs w:val="22"/>
                <w:highlight w:val="none"/>
              </w:rPr>
            </w:pPr>
          </w:p>
        </w:tc>
        <w:tc>
          <w:tcPr>
            <w:tcW w:w="2432" w:type="dxa"/>
            <w:vAlign w:val="center"/>
          </w:tcPr>
          <w:p>
            <w:pPr>
              <w:tabs>
                <w:tab w:val="left" w:pos="1050"/>
                <w:tab w:val="left" w:pos="1260"/>
                <w:tab w:val="left" w:pos="1620"/>
              </w:tabs>
              <w:spacing w:line="360" w:lineRule="exact"/>
              <w:ind w:left="-107" w:leftChars="-51" w:right="-107" w:rightChars="-51"/>
              <w:jc w:val="center"/>
              <w:rPr>
                <w:rFonts w:ascii="宋体" w:hAnsi="宋体" w:cs="仿宋"/>
                <w:color w:val="auto"/>
                <w:sz w:val="22"/>
                <w:szCs w:val="22"/>
                <w:highlight w:val="none"/>
              </w:rPr>
            </w:pPr>
            <w:r>
              <w:rPr>
                <w:rFonts w:hint="eastAsia" w:ascii="宋体" w:hAnsi="宋体" w:cs="仿宋"/>
                <w:color w:val="auto"/>
                <w:sz w:val="22"/>
                <w:szCs w:val="22"/>
                <w:highlight w:val="none"/>
              </w:rPr>
              <w:t>员工福利费</w:t>
            </w:r>
          </w:p>
        </w:tc>
        <w:tc>
          <w:tcPr>
            <w:tcW w:w="1417" w:type="dxa"/>
            <w:vAlign w:val="center"/>
          </w:tcPr>
          <w:p>
            <w:pPr>
              <w:tabs>
                <w:tab w:val="left" w:pos="1620"/>
              </w:tabs>
              <w:spacing w:line="360" w:lineRule="exact"/>
              <w:jc w:val="center"/>
              <w:rPr>
                <w:rFonts w:ascii="宋体" w:hAnsi="宋体" w:cs="仿宋"/>
                <w:color w:val="auto"/>
                <w:sz w:val="22"/>
                <w:szCs w:val="22"/>
                <w:highlight w:val="none"/>
              </w:rPr>
            </w:pPr>
          </w:p>
        </w:tc>
        <w:tc>
          <w:tcPr>
            <w:tcW w:w="1516" w:type="dxa"/>
            <w:vAlign w:val="center"/>
          </w:tcPr>
          <w:p>
            <w:pPr>
              <w:tabs>
                <w:tab w:val="left" w:pos="1620"/>
              </w:tabs>
              <w:spacing w:line="360" w:lineRule="exact"/>
              <w:jc w:val="center"/>
              <w:rPr>
                <w:rFonts w:ascii="宋体" w:hAnsi="宋体" w:cs="仿宋"/>
                <w:color w:val="auto"/>
                <w:sz w:val="22"/>
                <w:szCs w:val="22"/>
                <w:highlight w:val="none"/>
              </w:rPr>
            </w:pPr>
          </w:p>
        </w:tc>
        <w:tc>
          <w:tcPr>
            <w:tcW w:w="1250" w:type="dxa"/>
            <w:vAlign w:val="center"/>
          </w:tcPr>
          <w:p>
            <w:pPr>
              <w:tabs>
                <w:tab w:val="left" w:pos="1620"/>
              </w:tabs>
              <w:spacing w:line="360" w:lineRule="exact"/>
              <w:jc w:val="center"/>
              <w:rPr>
                <w:rFonts w:ascii="宋体" w:hAnsi="宋体" w:cs="仿宋"/>
                <w:color w:val="auto"/>
                <w:sz w:val="22"/>
                <w:szCs w:val="22"/>
                <w:highlight w:val="none"/>
              </w:rPr>
            </w:pPr>
          </w:p>
        </w:tc>
        <w:tc>
          <w:tcPr>
            <w:tcW w:w="1228" w:type="dxa"/>
            <w:vMerge w:val="continue"/>
            <w:vAlign w:val="center"/>
          </w:tcPr>
          <w:p>
            <w:pPr>
              <w:tabs>
                <w:tab w:val="left" w:pos="1620"/>
              </w:tabs>
              <w:spacing w:line="360" w:lineRule="exact"/>
              <w:rPr>
                <w:rFonts w:ascii="宋体" w:hAnsi="宋体"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604" w:type="dxa"/>
            <w:vMerge w:val="continue"/>
            <w:vAlign w:val="center"/>
          </w:tcPr>
          <w:p>
            <w:pPr>
              <w:tabs>
                <w:tab w:val="left" w:pos="1620"/>
              </w:tabs>
              <w:spacing w:line="360" w:lineRule="exact"/>
              <w:jc w:val="center"/>
              <w:rPr>
                <w:rFonts w:ascii="宋体" w:hAnsi="宋体" w:cs="仿宋"/>
                <w:color w:val="auto"/>
                <w:sz w:val="22"/>
                <w:szCs w:val="22"/>
                <w:highlight w:val="none"/>
              </w:rPr>
            </w:pPr>
          </w:p>
        </w:tc>
        <w:tc>
          <w:tcPr>
            <w:tcW w:w="690" w:type="dxa"/>
            <w:vMerge w:val="continue"/>
            <w:vAlign w:val="center"/>
          </w:tcPr>
          <w:p>
            <w:pPr>
              <w:tabs>
                <w:tab w:val="left" w:pos="1050"/>
                <w:tab w:val="left" w:pos="1260"/>
                <w:tab w:val="left" w:pos="1620"/>
              </w:tabs>
              <w:spacing w:line="360" w:lineRule="exact"/>
              <w:ind w:right="-107" w:rightChars="-51"/>
              <w:jc w:val="center"/>
              <w:rPr>
                <w:rFonts w:ascii="宋体" w:hAnsi="宋体" w:cs="仿宋"/>
                <w:color w:val="auto"/>
                <w:sz w:val="22"/>
                <w:szCs w:val="22"/>
                <w:highlight w:val="none"/>
              </w:rPr>
            </w:pPr>
          </w:p>
        </w:tc>
        <w:tc>
          <w:tcPr>
            <w:tcW w:w="2432" w:type="dxa"/>
            <w:vAlign w:val="center"/>
          </w:tcPr>
          <w:p>
            <w:pPr>
              <w:tabs>
                <w:tab w:val="left" w:pos="1050"/>
                <w:tab w:val="left" w:pos="1260"/>
                <w:tab w:val="left" w:pos="1620"/>
              </w:tabs>
              <w:spacing w:line="360" w:lineRule="exact"/>
              <w:ind w:left="-107" w:leftChars="-51" w:right="-107" w:rightChars="-51"/>
              <w:jc w:val="center"/>
              <w:rPr>
                <w:rFonts w:ascii="宋体" w:hAnsi="宋体" w:cs="仿宋"/>
                <w:color w:val="auto"/>
                <w:sz w:val="22"/>
                <w:szCs w:val="22"/>
                <w:highlight w:val="none"/>
              </w:rPr>
            </w:pPr>
            <w:r>
              <w:rPr>
                <w:rFonts w:hint="eastAsia" w:ascii="宋体" w:hAnsi="宋体" w:cs="仿宋"/>
                <w:color w:val="auto"/>
                <w:sz w:val="22"/>
                <w:szCs w:val="22"/>
                <w:highlight w:val="none"/>
              </w:rPr>
              <w:t>五险一金</w:t>
            </w:r>
          </w:p>
        </w:tc>
        <w:tc>
          <w:tcPr>
            <w:tcW w:w="1417" w:type="dxa"/>
            <w:vAlign w:val="center"/>
          </w:tcPr>
          <w:p>
            <w:pPr>
              <w:tabs>
                <w:tab w:val="left" w:pos="1620"/>
              </w:tabs>
              <w:spacing w:line="360" w:lineRule="exact"/>
              <w:jc w:val="center"/>
              <w:rPr>
                <w:rFonts w:ascii="宋体" w:hAnsi="宋体" w:cs="仿宋"/>
                <w:color w:val="auto"/>
                <w:sz w:val="22"/>
                <w:szCs w:val="22"/>
                <w:highlight w:val="none"/>
              </w:rPr>
            </w:pPr>
          </w:p>
        </w:tc>
        <w:tc>
          <w:tcPr>
            <w:tcW w:w="1516" w:type="dxa"/>
            <w:vAlign w:val="center"/>
          </w:tcPr>
          <w:p>
            <w:pPr>
              <w:tabs>
                <w:tab w:val="left" w:pos="1620"/>
              </w:tabs>
              <w:spacing w:line="360" w:lineRule="exact"/>
              <w:jc w:val="center"/>
              <w:rPr>
                <w:rFonts w:ascii="宋体" w:hAnsi="宋体" w:cs="仿宋"/>
                <w:color w:val="auto"/>
                <w:sz w:val="22"/>
                <w:szCs w:val="22"/>
                <w:highlight w:val="none"/>
              </w:rPr>
            </w:pPr>
          </w:p>
        </w:tc>
        <w:tc>
          <w:tcPr>
            <w:tcW w:w="1250" w:type="dxa"/>
            <w:vAlign w:val="center"/>
          </w:tcPr>
          <w:p>
            <w:pPr>
              <w:tabs>
                <w:tab w:val="left" w:pos="1620"/>
              </w:tabs>
              <w:spacing w:line="360" w:lineRule="exact"/>
              <w:jc w:val="center"/>
              <w:rPr>
                <w:rFonts w:ascii="宋体" w:hAnsi="宋体" w:cs="仿宋"/>
                <w:color w:val="auto"/>
                <w:sz w:val="22"/>
                <w:szCs w:val="22"/>
                <w:highlight w:val="none"/>
              </w:rPr>
            </w:pPr>
          </w:p>
        </w:tc>
        <w:tc>
          <w:tcPr>
            <w:tcW w:w="1228" w:type="dxa"/>
            <w:vMerge w:val="continue"/>
            <w:vAlign w:val="center"/>
          </w:tcPr>
          <w:p>
            <w:pPr>
              <w:tabs>
                <w:tab w:val="left" w:pos="1620"/>
              </w:tabs>
              <w:spacing w:line="360" w:lineRule="exact"/>
              <w:rPr>
                <w:rFonts w:ascii="宋体" w:hAnsi="宋体"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604" w:type="dxa"/>
            <w:vMerge w:val="continue"/>
            <w:vAlign w:val="center"/>
          </w:tcPr>
          <w:p>
            <w:pPr>
              <w:tabs>
                <w:tab w:val="left" w:pos="1620"/>
              </w:tabs>
              <w:spacing w:line="360" w:lineRule="exact"/>
              <w:jc w:val="center"/>
              <w:rPr>
                <w:rFonts w:ascii="宋体" w:hAnsi="宋体" w:cs="仿宋"/>
                <w:color w:val="auto"/>
                <w:sz w:val="22"/>
                <w:szCs w:val="22"/>
                <w:highlight w:val="none"/>
              </w:rPr>
            </w:pPr>
          </w:p>
        </w:tc>
        <w:tc>
          <w:tcPr>
            <w:tcW w:w="690" w:type="dxa"/>
            <w:vMerge w:val="continue"/>
            <w:vAlign w:val="center"/>
          </w:tcPr>
          <w:p>
            <w:pPr>
              <w:tabs>
                <w:tab w:val="left" w:pos="1050"/>
                <w:tab w:val="left" w:pos="1260"/>
                <w:tab w:val="left" w:pos="1620"/>
              </w:tabs>
              <w:spacing w:line="360" w:lineRule="exact"/>
              <w:ind w:right="-107" w:rightChars="-51"/>
              <w:jc w:val="center"/>
              <w:rPr>
                <w:rFonts w:ascii="宋体" w:hAnsi="宋体" w:cs="仿宋"/>
                <w:color w:val="auto"/>
                <w:sz w:val="22"/>
                <w:szCs w:val="22"/>
                <w:highlight w:val="none"/>
              </w:rPr>
            </w:pPr>
          </w:p>
        </w:tc>
        <w:tc>
          <w:tcPr>
            <w:tcW w:w="2432" w:type="dxa"/>
            <w:vAlign w:val="center"/>
          </w:tcPr>
          <w:p>
            <w:pPr>
              <w:tabs>
                <w:tab w:val="left" w:pos="1050"/>
                <w:tab w:val="left" w:pos="1260"/>
                <w:tab w:val="left" w:pos="1620"/>
              </w:tabs>
              <w:spacing w:line="360" w:lineRule="exact"/>
              <w:ind w:left="-107" w:leftChars="-51" w:right="-107" w:rightChars="-51"/>
              <w:jc w:val="center"/>
              <w:rPr>
                <w:rFonts w:ascii="宋体" w:hAnsi="宋体" w:cs="仿宋"/>
                <w:color w:val="auto"/>
                <w:sz w:val="22"/>
                <w:szCs w:val="22"/>
                <w:highlight w:val="none"/>
              </w:rPr>
            </w:pPr>
            <w:r>
              <w:rPr>
                <w:rFonts w:ascii="宋体" w:hAnsi="宋体" w:cs="仿宋"/>
                <w:color w:val="auto"/>
                <w:sz w:val="22"/>
                <w:szCs w:val="22"/>
                <w:highlight w:val="none"/>
              </w:rPr>
              <w:t>……</w:t>
            </w:r>
          </w:p>
        </w:tc>
        <w:tc>
          <w:tcPr>
            <w:tcW w:w="1417" w:type="dxa"/>
            <w:vAlign w:val="center"/>
          </w:tcPr>
          <w:p>
            <w:pPr>
              <w:tabs>
                <w:tab w:val="left" w:pos="1620"/>
              </w:tabs>
              <w:spacing w:line="360" w:lineRule="exact"/>
              <w:jc w:val="center"/>
              <w:rPr>
                <w:rFonts w:ascii="宋体" w:hAnsi="宋体" w:cs="仿宋"/>
                <w:color w:val="auto"/>
                <w:sz w:val="22"/>
                <w:szCs w:val="22"/>
                <w:highlight w:val="none"/>
              </w:rPr>
            </w:pPr>
          </w:p>
        </w:tc>
        <w:tc>
          <w:tcPr>
            <w:tcW w:w="1516" w:type="dxa"/>
            <w:vAlign w:val="center"/>
          </w:tcPr>
          <w:p>
            <w:pPr>
              <w:tabs>
                <w:tab w:val="left" w:pos="1620"/>
              </w:tabs>
              <w:spacing w:line="360" w:lineRule="exact"/>
              <w:jc w:val="center"/>
              <w:rPr>
                <w:rFonts w:ascii="宋体" w:hAnsi="宋体" w:cs="仿宋"/>
                <w:color w:val="auto"/>
                <w:sz w:val="22"/>
                <w:szCs w:val="22"/>
                <w:highlight w:val="none"/>
              </w:rPr>
            </w:pPr>
          </w:p>
        </w:tc>
        <w:tc>
          <w:tcPr>
            <w:tcW w:w="1250" w:type="dxa"/>
            <w:vAlign w:val="center"/>
          </w:tcPr>
          <w:p>
            <w:pPr>
              <w:tabs>
                <w:tab w:val="left" w:pos="1620"/>
              </w:tabs>
              <w:spacing w:line="360" w:lineRule="exact"/>
              <w:jc w:val="center"/>
              <w:rPr>
                <w:rFonts w:ascii="宋体" w:hAnsi="宋体" w:cs="仿宋"/>
                <w:color w:val="auto"/>
                <w:sz w:val="22"/>
                <w:szCs w:val="22"/>
                <w:highlight w:val="none"/>
              </w:rPr>
            </w:pPr>
          </w:p>
        </w:tc>
        <w:tc>
          <w:tcPr>
            <w:tcW w:w="1228" w:type="dxa"/>
            <w:vMerge w:val="continue"/>
            <w:vAlign w:val="center"/>
          </w:tcPr>
          <w:p>
            <w:pPr>
              <w:tabs>
                <w:tab w:val="left" w:pos="1620"/>
              </w:tabs>
              <w:spacing w:line="360" w:lineRule="exact"/>
              <w:rPr>
                <w:rFonts w:ascii="宋体" w:hAnsi="宋体"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04" w:type="dxa"/>
            <w:vAlign w:val="center"/>
          </w:tcPr>
          <w:p>
            <w:pPr>
              <w:tabs>
                <w:tab w:val="left" w:pos="1620"/>
              </w:tabs>
              <w:spacing w:line="360" w:lineRule="exact"/>
              <w:jc w:val="center"/>
              <w:rPr>
                <w:rFonts w:ascii="宋体" w:hAnsi="宋体" w:cs="仿宋"/>
                <w:color w:val="auto"/>
                <w:sz w:val="22"/>
                <w:szCs w:val="22"/>
                <w:highlight w:val="none"/>
              </w:rPr>
            </w:pPr>
            <w:r>
              <w:rPr>
                <w:rFonts w:hint="eastAsia" w:ascii="宋体" w:hAnsi="宋体" w:cs="仿宋"/>
                <w:color w:val="auto"/>
                <w:sz w:val="22"/>
                <w:szCs w:val="22"/>
                <w:highlight w:val="none"/>
              </w:rPr>
              <w:t>2</w:t>
            </w:r>
          </w:p>
        </w:tc>
        <w:tc>
          <w:tcPr>
            <w:tcW w:w="3122" w:type="dxa"/>
            <w:gridSpan w:val="2"/>
            <w:vAlign w:val="center"/>
          </w:tcPr>
          <w:p>
            <w:pPr>
              <w:tabs>
                <w:tab w:val="left" w:pos="1620"/>
              </w:tabs>
              <w:spacing w:line="360" w:lineRule="exact"/>
              <w:jc w:val="center"/>
              <w:rPr>
                <w:rFonts w:ascii="宋体" w:hAnsi="宋体" w:cs="仿宋"/>
                <w:color w:val="auto"/>
                <w:sz w:val="22"/>
                <w:szCs w:val="22"/>
                <w:highlight w:val="none"/>
              </w:rPr>
            </w:pPr>
            <w:r>
              <w:rPr>
                <w:rFonts w:hint="eastAsia" w:ascii="宋体" w:hAnsi="宋体" w:cs="仿宋"/>
                <w:color w:val="auto"/>
                <w:sz w:val="22"/>
                <w:szCs w:val="22"/>
                <w:highlight w:val="none"/>
              </w:rPr>
              <w:t>企业经营管理费</w:t>
            </w:r>
          </w:p>
        </w:tc>
        <w:tc>
          <w:tcPr>
            <w:tcW w:w="4183" w:type="dxa"/>
            <w:gridSpan w:val="3"/>
            <w:vAlign w:val="center"/>
          </w:tcPr>
          <w:p>
            <w:pPr>
              <w:tabs>
                <w:tab w:val="left" w:pos="1620"/>
              </w:tabs>
              <w:spacing w:line="360" w:lineRule="exact"/>
              <w:jc w:val="center"/>
              <w:rPr>
                <w:rFonts w:ascii="宋体" w:hAnsi="宋体" w:cs="仿宋"/>
                <w:color w:val="auto"/>
                <w:sz w:val="22"/>
                <w:szCs w:val="22"/>
                <w:highlight w:val="none"/>
              </w:rPr>
            </w:pPr>
            <w:r>
              <w:rPr>
                <w:rFonts w:hint="eastAsia" w:ascii="宋体" w:hAnsi="宋体" w:cs="仿宋"/>
                <w:color w:val="auto"/>
                <w:sz w:val="22"/>
                <w:szCs w:val="22"/>
                <w:highlight w:val="none"/>
              </w:rPr>
              <w:t>含</w:t>
            </w:r>
          </w:p>
        </w:tc>
        <w:tc>
          <w:tcPr>
            <w:tcW w:w="1228" w:type="dxa"/>
            <w:vAlign w:val="center"/>
          </w:tcPr>
          <w:p>
            <w:pPr>
              <w:tabs>
                <w:tab w:val="left" w:pos="1620"/>
              </w:tabs>
              <w:spacing w:line="360" w:lineRule="exact"/>
              <w:jc w:val="center"/>
              <w:rPr>
                <w:rFonts w:ascii="宋体" w:hAnsi="宋体"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04" w:type="dxa"/>
            <w:vAlign w:val="center"/>
          </w:tcPr>
          <w:p>
            <w:pPr>
              <w:tabs>
                <w:tab w:val="left" w:pos="1620"/>
              </w:tabs>
              <w:spacing w:line="360" w:lineRule="exact"/>
              <w:jc w:val="center"/>
              <w:rPr>
                <w:rFonts w:ascii="宋体" w:hAnsi="宋体" w:cs="仿宋"/>
                <w:color w:val="auto"/>
                <w:sz w:val="22"/>
                <w:szCs w:val="22"/>
                <w:highlight w:val="none"/>
              </w:rPr>
            </w:pPr>
            <w:r>
              <w:rPr>
                <w:rFonts w:hint="eastAsia" w:ascii="宋体" w:hAnsi="宋体" w:cs="仿宋"/>
                <w:color w:val="auto"/>
                <w:sz w:val="22"/>
                <w:szCs w:val="22"/>
                <w:highlight w:val="none"/>
              </w:rPr>
              <w:t>3</w:t>
            </w:r>
          </w:p>
        </w:tc>
        <w:tc>
          <w:tcPr>
            <w:tcW w:w="3122" w:type="dxa"/>
            <w:gridSpan w:val="2"/>
            <w:vAlign w:val="center"/>
          </w:tcPr>
          <w:p>
            <w:pPr>
              <w:tabs>
                <w:tab w:val="left" w:pos="1620"/>
              </w:tabs>
              <w:spacing w:line="360" w:lineRule="exact"/>
              <w:jc w:val="center"/>
              <w:rPr>
                <w:rFonts w:ascii="宋体" w:hAnsi="宋体" w:cs="仿宋"/>
                <w:color w:val="auto"/>
                <w:sz w:val="22"/>
                <w:szCs w:val="22"/>
                <w:highlight w:val="none"/>
              </w:rPr>
            </w:pPr>
            <w:r>
              <w:rPr>
                <w:rFonts w:hint="eastAsia" w:ascii="宋体" w:hAnsi="宋体" w:cs="仿宋"/>
                <w:color w:val="auto"/>
                <w:sz w:val="22"/>
                <w:szCs w:val="22"/>
                <w:highlight w:val="none"/>
              </w:rPr>
              <w:t>税    金</w:t>
            </w:r>
          </w:p>
        </w:tc>
        <w:tc>
          <w:tcPr>
            <w:tcW w:w="4183" w:type="dxa"/>
            <w:gridSpan w:val="3"/>
            <w:vAlign w:val="center"/>
          </w:tcPr>
          <w:p>
            <w:pPr>
              <w:tabs>
                <w:tab w:val="left" w:pos="1620"/>
              </w:tabs>
              <w:spacing w:line="360" w:lineRule="exact"/>
              <w:jc w:val="center"/>
              <w:rPr>
                <w:rFonts w:ascii="宋体" w:hAnsi="宋体" w:cs="仿宋"/>
                <w:color w:val="auto"/>
                <w:sz w:val="22"/>
                <w:szCs w:val="22"/>
                <w:highlight w:val="none"/>
              </w:rPr>
            </w:pPr>
            <w:r>
              <w:rPr>
                <w:rFonts w:hint="eastAsia" w:ascii="宋体" w:hAnsi="宋体" w:cs="仿宋"/>
                <w:color w:val="auto"/>
                <w:sz w:val="22"/>
                <w:szCs w:val="22"/>
                <w:highlight w:val="none"/>
              </w:rPr>
              <w:t>含</w:t>
            </w:r>
          </w:p>
        </w:tc>
        <w:tc>
          <w:tcPr>
            <w:tcW w:w="1228" w:type="dxa"/>
            <w:vAlign w:val="center"/>
          </w:tcPr>
          <w:p>
            <w:pPr>
              <w:tabs>
                <w:tab w:val="left" w:pos="1620"/>
              </w:tabs>
              <w:spacing w:line="360" w:lineRule="exact"/>
              <w:jc w:val="center"/>
              <w:rPr>
                <w:rFonts w:ascii="宋体" w:hAnsi="宋体"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04" w:type="dxa"/>
            <w:vAlign w:val="center"/>
          </w:tcPr>
          <w:p>
            <w:pPr>
              <w:tabs>
                <w:tab w:val="left" w:pos="1620"/>
              </w:tabs>
              <w:spacing w:line="360" w:lineRule="exact"/>
              <w:jc w:val="center"/>
              <w:rPr>
                <w:rFonts w:ascii="宋体" w:hAnsi="宋体" w:cs="仿宋"/>
                <w:color w:val="auto"/>
                <w:sz w:val="22"/>
                <w:szCs w:val="22"/>
                <w:highlight w:val="none"/>
              </w:rPr>
            </w:pPr>
            <w:r>
              <w:rPr>
                <w:rFonts w:hint="eastAsia" w:ascii="宋体" w:hAnsi="宋体" w:cs="仿宋"/>
                <w:color w:val="auto"/>
                <w:sz w:val="22"/>
                <w:szCs w:val="22"/>
                <w:highlight w:val="none"/>
              </w:rPr>
              <w:t>4</w:t>
            </w:r>
          </w:p>
        </w:tc>
        <w:tc>
          <w:tcPr>
            <w:tcW w:w="3122" w:type="dxa"/>
            <w:gridSpan w:val="2"/>
            <w:vAlign w:val="center"/>
          </w:tcPr>
          <w:p>
            <w:pPr>
              <w:tabs>
                <w:tab w:val="left" w:pos="1620"/>
              </w:tabs>
              <w:spacing w:line="360" w:lineRule="exact"/>
              <w:ind w:left="-107" w:leftChars="-51" w:right="-107" w:rightChars="-51"/>
              <w:jc w:val="center"/>
              <w:rPr>
                <w:rFonts w:ascii="宋体" w:hAnsi="宋体" w:cs="仿宋"/>
                <w:color w:val="auto"/>
                <w:sz w:val="22"/>
                <w:szCs w:val="22"/>
                <w:highlight w:val="none"/>
              </w:rPr>
            </w:pPr>
            <w:r>
              <w:rPr>
                <w:rFonts w:hint="eastAsia" w:ascii="宋体" w:hAnsi="宋体" w:cs="仿宋"/>
                <w:color w:val="auto"/>
                <w:sz w:val="22"/>
                <w:szCs w:val="22"/>
                <w:highlight w:val="none"/>
              </w:rPr>
              <w:t>采购代理服务费</w:t>
            </w:r>
          </w:p>
        </w:tc>
        <w:tc>
          <w:tcPr>
            <w:tcW w:w="4183" w:type="dxa"/>
            <w:gridSpan w:val="3"/>
            <w:vAlign w:val="center"/>
          </w:tcPr>
          <w:p>
            <w:pPr>
              <w:tabs>
                <w:tab w:val="left" w:pos="1620"/>
              </w:tabs>
              <w:spacing w:line="360" w:lineRule="exact"/>
              <w:jc w:val="center"/>
              <w:rPr>
                <w:rFonts w:ascii="宋体" w:hAnsi="宋体" w:cs="仿宋"/>
                <w:color w:val="auto"/>
                <w:sz w:val="22"/>
                <w:szCs w:val="22"/>
                <w:highlight w:val="none"/>
              </w:rPr>
            </w:pPr>
            <w:r>
              <w:rPr>
                <w:rFonts w:hint="eastAsia" w:ascii="宋体" w:hAnsi="宋体" w:cs="仿宋"/>
                <w:color w:val="auto"/>
                <w:sz w:val="22"/>
                <w:szCs w:val="22"/>
                <w:highlight w:val="none"/>
              </w:rPr>
              <w:t>含</w:t>
            </w:r>
          </w:p>
        </w:tc>
        <w:tc>
          <w:tcPr>
            <w:tcW w:w="1228" w:type="dxa"/>
            <w:vAlign w:val="center"/>
          </w:tcPr>
          <w:p>
            <w:pPr>
              <w:tabs>
                <w:tab w:val="left" w:pos="1620"/>
              </w:tabs>
              <w:spacing w:line="360" w:lineRule="exact"/>
              <w:jc w:val="center"/>
              <w:rPr>
                <w:rFonts w:ascii="宋体" w:hAnsi="宋体"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04" w:type="dxa"/>
            <w:vAlign w:val="center"/>
          </w:tcPr>
          <w:p>
            <w:pPr>
              <w:tabs>
                <w:tab w:val="left" w:pos="1620"/>
              </w:tabs>
              <w:spacing w:line="360" w:lineRule="exact"/>
              <w:jc w:val="center"/>
              <w:rPr>
                <w:rFonts w:ascii="宋体" w:hAnsi="宋体" w:cs="仿宋"/>
                <w:color w:val="auto"/>
                <w:sz w:val="22"/>
                <w:szCs w:val="22"/>
                <w:highlight w:val="none"/>
              </w:rPr>
            </w:pPr>
            <w:r>
              <w:rPr>
                <w:rFonts w:hint="eastAsia" w:ascii="宋体" w:hAnsi="宋体" w:cs="仿宋"/>
                <w:color w:val="auto"/>
                <w:sz w:val="22"/>
                <w:szCs w:val="22"/>
                <w:highlight w:val="none"/>
              </w:rPr>
              <w:t>5</w:t>
            </w:r>
          </w:p>
        </w:tc>
        <w:tc>
          <w:tcPr>
            <w:tcW w:w="3122" w:type="dxa"/>
            <w:gridSpan w:val="2"/>
            <w:vAlign w:val="center"/>
          </w:tcPr>
          <w:p>
            <w:pPr>
              <w:tabs>
                <w:tab w:val="left" w:pos="1620"/>
              </w:tabs>
              <w:spacing w:line="360" w:lineRule="exact"/>
              <w:ind w:left="-107" w:leftChars="-51" w:right="-107" w:rightChars="-51"/>
              <w:jc w:val="center"/>
              <w:rPr>
                <w:rFonts w:ascii="宋体" w:hAnsi="宋体" w:cs="仿宋"/>
                <w:color w:val="auto"/>
                <w:sz w:val="22"/>
                <w:szCs w:val="22"/>
                <w:highlight w:val="none"/>
              </w:rPr>
            </w:pPr>
            <w:r>
              <w:rPr>
                <w:rFonts w:hint="eastAsia" w:ascii="宋体" w:hAnsi="宋体" w:cs="仿宋"/>
                <w:color w:val="auto"/>
                <w:sz w:val="22"/>
                <w:szCs w:val="22"/>
                <w:highlight w:val="none"/>
              </w:rPr>
              <w:t>其     他</w:t>
            </w:r>
          </w:p>
        </w:tc>
        <w:tc>
          <w:tcPr>
            <w:tcW w:w="4183" w:type="dxa"/>
            <w:gridSpan w:val="3"/>
            <w:vAlign w:val="center"/>
          </w:tcPr>
          <w:p>
            <w:pPr>
              <w:tabs>
                <w:tab w:val="left" w:pos="1620"/>
              </w:tabs>
              <w:spacing w:line="360" w:lineRule="exact"/>
              <w:jc w:val="center"/>
              <w:rPr>
                <w:rFonts w:ascii="宋体" w:hAnsi="宋体" w:cs="仿宋"/>
                <w:color w:val="auto"/>
                <w:sz w:val="22"/>
                <w:szCs w:val="22"/>
                <w:highlight w:val="none"/>
              </w:rPr>
            </w:pPr>
            <w:r>
              <w:rPr>
                <w:rFonts w:hint="eastAsia" w:ascii="宋体" w:hAnsi="宋体" w:cs="仿宋"/>
                <w:color w:val="auto"/>
                <w:sz w:val="22"/>
                <w:szCs w:val="22"/>
                <w:highlight w:val="none"/>
              </w:rPr>
              <w:t>含</w:t>
            </w:r>
          </w:p>
        </w:tc>
        <w:tc>
          <w:tcPr>
            <w:tcW w:w="1228" w:type="dxa"/>
            <w:vAlign w:val="center"/>
          </w:tcPr>
          <w:p>
            <w:pPr>
              <w:tabs>
                <w:tab w:val="left" w:pos="1620"/>
              </w:tabs>
              <w:spacing w:line="360" w:lineRule="exact"/>
              <w:jc w:val="center"/>
              <w:rPr>
                <w:rFonts w:ascii="宋体" w:hAnsi="宋体"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3726" w:type="dxa"/>
            <w:gridSpan w:val="3"/>
            <w:vAlign w:val="center"/>
          </w:tcPr>
          <w:p>
            <w:pPr>
              <w:tabs>
                <w:tab w:val="left" w:pos="1620"/>
              </w:tabs>
              <w:spacing w:line="360" w:lineRule="exact"/>
              <w:ind w:left="-107" w:leftChars="-51" w:right="-107" w:rightChars="-51"/>
              <w:jc w:val="center"/>
              <w:rPr>
                <w:rFonts w:ascii="宋体" w:hAnsi="宋体" w:cs="仿宋"/>
                <w:color w:val="auto"/>
                <w:sz w:val="22"/>
                <w:szCs w:val="22"/>
                <w:highlight w:val="none"/>
              </w:rPr>
            </w:pPr>
            <w:r>
              <w:rPr>
                <w:rFonts w:hint="eastAsia" w:ascii="宋体" w:hAnsi="宋体" w:cs="仿宋"/>
                <w:b/>
                <w:color w:val="auto"/>
                <w:sz w:val="22"/>
                <w:szCs w:val="22"/>
                <w:highlight w:val="none"/>
              </w:rPr>
              <w:t>总计价（1+2+3+4+5）</w:t>
            </w:r>
          </w:p>
        </w:tc>
        <w:tc>
          <w:tcPr>
            <w:tcW w:w="5411" w:type="dxa"/>
            <w:gridSpan w:val="4"/>
            <w:vAlign w:val="center"/>
          </w:tcPr>
          <w:p>
            <w:pPr>
              <w:tabs>
                <w:tab w:val="left" w:pos="1620"/>
              </w:tabs>
              <w:spacing w:line="360" w:lineRule="exact"/>
              <w:jc w:val="center"/>
              <w:rPr>
                <w:rFonts w:ascii="宋体" w:hAnsi="宋体" w:cs="仿宋"/>
                <w:color w:val="auto"/>
                <w:sz w:val="22"/>
                <w:szCs w:val="22"/>
                <w:highlight w:val="none"/>
              </w:rPr>
            </w:pPr>
          </w:p>
        </w:tc>
      </w:tr>
    </w:tbl>
    <w:p>
      <w:pPr>
        <w:spacing w:line="380" w:lineRule="exact"/>
        <w:rPr>
          <w:rFonts w:ascii="宋体" w:hAnsi="宋体" w:cs="宋体"/>
          <w:color w:val="auto"/>
          <w:sz w:val="22"/>
          <w:szCs w:val="22"/>
          <w:highlight w:val="none"/>
        </w:rPr>
      </w:pPr>
    </w:p>
    <w:p>
      <w:pPr>
        <w:spacing w:line="380" w:lineRule="exact"/>
        <w:ind w:left="532" w:leftChars="-171" w:hanging="891" w:hangingChars="405"/>
        <w:rPr>
          <w:rFonts w:ascii="宋体" w:hAnsi="宋体" w:cs="宋体"/>
          <w:bCs/>
          <w:color w:val="auto"/>
          <w:szCs w:val="21"/>
          <w:highlight w:val="none"/>
        </w:rPr>
      </w:pPr>
      <w:r>
        <w:rPr>
          <w:rFonts w:hint="eastAsia" w:ascii="宋体" w:hAnsi="宋体" w:cs="宋体"/>
          <w:color w:val="auto"/>
          <w:sz w:val="22"/>
          <w:szCs w:val="22"/>
          <w:highlight w:val="none"/>
        </w:rPr>
        <w:t>说明：1.</w:t>
      </w:r>
      <w:r>
        <w:rPr>
          <w:rFonts w:hint="eastAsia" w:ascii="宋体" w:hAnsi="宋体" w:cs="宋体"/>
          <w:bCs/>
          <w:color w:val="auto"/>
          <w:szCs w:val="21"/>
          <w:highlight w:val="none"/>
        </w:rPr>
        <w:t xml:space="preserve"> 此栏内合计总价应与附件六“开标一览表”中投标报价相一致。</w:t>
      </w:r>
    </w:p>
    <w:p>
      <w:pPr>
        <w:spacing w:line="380" w:lineRule="exact"/>
        <w:ind w:left="528" w:leftChars="38" w:hanging="448" w:hangingChars="204"/>
        <w:rPr>
          <w:rFonts w:ascii="宋体" w:hAnsi="宋体" w:cs="宋体"/>
          <w:b/>
          <w:color w:val="auto"/>
          <w:szCs w:val="21"/>
          <w:highlight w:val="none"/>
          <w:u w:val="single"/>
        </w:rPr>
      </w:pPr>
      <w:r>
        <w:rPr>
          <w:rFonts w:hint="eastAsia" w:ascii="宋体" w:hAnsi="宋体" w:cs="宋体"/>
          <w:color w:val="auto"/>
          <w:sz w:val="22"/>
          <w:szCs w:val="22"/>
          <w:highlight w:val="none"/>
        </w:rPr>
        <w:t>2.</w:t>
      </w:r>
      <w:r>
        <w:rPr>
          <w:rFonts w:hint="eastAsia" w:ascii="宋体" w:hAnsi="宋体" w:cs="宋体"/>
          <w:b/>
          <w:color w:val="auto"/>
          <w:szCs w:val="21"/>
          <w:highlight w:val="none"/>
          <w:u w:val="single"/>
        </w:rPr>
        <w:t>▲此表不得自行增减内容，不提供此表格将被视为没有实质性响应采购文件。</w:t>
      </w:r>
    </w:p>
    <w:p>
      <w:pPr>
        <w:pStyle w:val="32"/>
        <w:rPr>
          <w:color w:val="auto"/>
          <w:highlight w:val="none"/>
        </w:rPr>
      </w:pPr>
    </w:p>
    <w:p>
      <w:pPr>
        <w:pStyle w:val="10"/>
        <w:spacing w:line="412" w:lineRule="auto"/>
        <w:ind w:left="107" w:leftChars="51" w:right="272" w:firstLine="3405" w:firstLineChars="1419"/>
        <w:rPr>
          <w:rFonts w:ascii="宋体" w:hAnsi="宋体" w:eastAsia="宋体" w:cs="宋体"/>
          <w:color w:val="auto"/>
          <w:sz w:val="24"/>
          <w:highlight w:val="none"/>
          <w:u w:val="single"/>
        </w:rPr>
      </w:pPr>
      <w:r>
        <w:rPr>
          <w:rFonts w:hint="eastAsia" w:ascii="宋体" w:hAnsi="宋体" w:eastAsia="宋体" w:cs="宋体"/>
          <w:color w:val="auto"/>
          <w:sz w:val="24"/>
          <w:highlight w:val="none"/>
        </w:rPr>
        <w:t>投标人全称（盖章）：</w:t>
      </w:r>
      <w:r>
        <w:rPr>
          <w:rFonts w:hint="eastAsia" w:ascii="宋体" w:hAnsi="宋体" w:eastAsia="宋体" w:cs="宋体"/>
          <w:color w:val="auto"/>
          <w:sz w:val="24"/>
          <w:highlight w:val="none"/>
          <w:u w:val="single"/>
        </w:rPr>
        <w:t xml:space="preserve">                        </w:t>
      </w:r>
    </w:p>
    <w:p>
      <w:pPr>
        <w:pStyle w:val="10"/>
        <w:spacing w:line="412" w:lineRule="auto"/>
        <w:ind w:left="107" w:leftChars="51" w:right="272" w:firstLine="3405" w:firstLineChars="1419"/>
        <w:rPr>
          <w:rFonts w:ascii="宋体" w:hAnsi="宋体" w:eastAsia="宋体" w:cs="宋体"/>
          <w:color w:val="auto"/>
          <w:sz w:val="24"/>
          <w:highlight w:val="none"/>
          <w:u w:val="single"/>
        </w:rPr>
      </w:pPr>
      <w:r>
        <w:rPr>
          <w:rFonts w:hint="eastAsia" w:ascii="宋体" w:hAnsi="宋体" w:eastAsia="宋体" w:cs="宋体"/>
          <w:color w:val="auto"/>
          <w:sz w:val="24"/>
          <w:highlight w:val="none"/>
        </w:rPr>
        <w:t>法定代表人或授权代表（签字或盖章）：</w:t>
      </w:r>
      <w:r>
        <w:rPr>
          <w:rFonts w:hint="eastAsia" w:ascii="宋体" w:hAnsi="宋体" w:eastAsia="宋体" w:cs="宋体"/>
          <w:color w:val="auto"/>
          <w:sz w:val="24"/>
          <w:highlight w:val="none"/>
          <w:u w:val="single"/>
        </w:rPr>
        <w:t xml:space="preserve">              </w:t>
      </w:r>
    </w:p>
    <w:p>
      <w:pPr>
        <w:pStyle w:val="10"/>
        <w:spacing w:line="412" w:lineRule="auto"/>
        <w:ind w:left="107" w:leftChars="51" w:right="272" w:firstLine="3405" w:firstLineChars="1419"/>
        <w:rPr>
          <w:rFonts w:ascii="宋体" w:hAnsi="宋体" w:eastAsia="宋体" w:cs="宋体"/>
          <w:color w:val="auto"/>
          <w:sz w:val="24"/>
          <w:highlight w:val="none"/>
        </w:rPr>
      </w:pPr>
      <w:r>
        <w:rPr>
          <w:rFonts w:hint="eastAsia" w:ascii="宋体" w:hAnsi="宋体" w:eastAsia="宋体" w:cs="宋体"/>
          <w:color w:val="auto"/>
          <w:sz w:val="24"/>
          <w:highlight w:val="none"/>
        </w:rPr>
        <w:t>日  期：</w:t>
      </w:r>
    </w:p>
    <w:p>
      <w:pPr>
        <w:pStyle w:val="9"/>
        <w:ind w:firstLine="210"/>
        <w:rPr>
          <w:color w:val="auto"/>
          <w:highlight w:val="none"/>
        </w:rPr>
      </w:pPr>
    </w:p>
    <w:p>
      <w:pPr>
        <w:pStyle w:val="11"/>
        <w:rPr>
          <w:color w:val="auto"/>
          <w:highlight w:val="none"/>
        </w:rPr>
        <w:sectPr>
          <w:pgSz w:w="11900" w:h="16838"/>
          <w:pgMar w:top="1440" w:right="1474" w:bottom="1440" w:left="1474" w:header="737" w:footer="737" w:gutter="0"/>
          <w:pgBorders>
            <w:top w:val="none" w:sz="0" w:space="0"/>
            <w:left w:val="none" w:sz="0" w:space="0"/>
            <w:bottom w:val="none" w:sz="0" w:space="0"/>
            <w:right w:val="none" w:sz="0" w:space="0"/>
          </w:pgBorders>
          <w:pgNumType w:fmt="numberInDash"/>
          <w:cols w:space="720" w:num="1"/>
          <w:docGrid w:linePitch="1" w:charSpace="0"/>
        </w:sectPr>
      </w:pPr>
    </w:p>
    <w:p>
      <w:pPr>
        <w:pStyle w:val="3"/>
        <w:spacing w:before="240" w:beforeLines="100"/>
        <w:rPr>
          <w:rFonts w:ascii="宋体" w:hAnsi="宋体" w:eastAsia="宋体" w:cs="宋体"/>
          <w:color w:val="auto"/>
          <w:sz w:val="44"/>
          <w:szCs w:val="44"/>
          <w:highlight w:val="none"/>
        </w:rPr>
      </w:pPr>
      <w:bookmarkStart w:id="209" w:name="_Toc241404208"/>
      <w:bookmarkStart w:id="210" w:name="_Toc221356957"/>
      <w:bookmarkStart w:id="211" w:name="_Toc246261271"/>
      <w:bookmarkStart w:id="212" w:name="_Toc472086524"/>
      <w:bookmarkStart w:id="213" w:name="_Toc251592743"/>
      <w:bookmarkStart w:id="214" w:name="_Toc221423625"/>
      <w:bookmarkStart w:id="215" w:name="_Toc245191320"/>
      <w:bookmarkStart w:id="216" w:name="_Toc223716004"/>
      <w:bookmarkStart w:id="217" w:name="_Toc222114885"/>
      <w:bookmarkStart w:id="218" w:name="_Toc252194858"/>
      <w:bookmarkStart w:id="219" w:name="_Toc221374632"/>
      <w:bookmarkStart w:id="220" w:name="_Toc221356894"/>
      <w:bookmarkStart w:id="221" w:name="_Toc239145360"/>
      <w:bookmarkStart w:id="222" w:name="_Toc245722287"/>
      <w:bookmarkStart w:id="223" w:name="_Toc251325220"/>
      <w:r>
        <w:rPr>
          <w:rFonts w:hint="eastAsia" w:ascii="宋体" w:hAnsi="宋体" w:eastAsia="宋体" w:cs="宋体"/>
          <w:color w:val="auto"/>
          <w:sz w:val="44"/>
          <w:szCs w:val="44"/>
          <w:highlight w:val="none"/>
        </w:rPr>
        <w:t>第四部分  采购内容及要求</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tabs>
          <w:tab w:val="left" w:pos="680"/>
          <w:tab w:val="left" w:pos="840"/>
        </w:tabs>
        <w:spacing w:line="360" w:lineRule="auto"/>
        <w:jc w:val="left"/>
        <w:rPr>
          <w:rFonts w:ascii="宋体" w:hAnsi="宋体" w:cs="Arial"/>
          <w:color w:val="auto"/>
          <w:spacing w:val="6"/>
          <w:sz w:val="22"/>
          <w:szCs w:val="22"/>
          <w:highlight w:val="none"/>
        </w:rPr>
      </w:pPr>
      <w:bookmarkStart w:id="224" w:name="_Toc251592744"/>
      <w:bookmarkStart w:id="225" w:name="_Toc252194859"/>
      <w:r>
        <w:rPr>
          <w:rFonts w:hint="eastAsia" w:ascii="宋体" w:hAnsi="宋体" w:cs="Arial"/>
          <w:b/>
          <w:bCs/>
          <w:color w:val="auto"/>
          <w:spacing w:val="6"/>
          <w:sz w:val="22"/>
          <w:szCs w:val="22"/>
          <w:highlight w:val="none"/>
        </w:rPr>
        <w:t>一、项目概况</w:t>
      </w:r>
    </w:p>
    <w:p>
      <w:pPr>
        <w:tabs>
          <w:tab w:val="left" w:pos="720"/>
        </w:tabs>
        <w:spacing w:line="360" w:lineRule="auto"/>
        <w:rPr>
          <w:rFonts w:ascii="宋体" w:hAnsi="宋体" w:cs="Arial"/>
          <w:color w:val="auto"/>
          <w:sz w:val="22"/>
          <w:szCs w:val="22"/>
          <w:highlight w:val="none"/>
        </w:rPr>
      </w:pPr>
      <w:r>
        <w:rPr>
          <w:rFonts w:hint="eastAsia" w:ascii="宋体" w:hAnsi="宋体" w:cs="Arial"/>
          <w:color w:val="auto"/>
          <w:sz w:val="22"/>
          <w:szCs w:val="22"/>
          <w:highlight w:val="none"/>
        </w:rPr>
        <w:t>1、基本情况</w:t>
      </w:r>
    </w:p>
    <w:p>
      <w:pPr>
        <w:spacing w:line="360" w:lineRule="auto"/>
        <w:ind w:firstLine="440" w:firstLineChars="200"/>
        <w:rPr>
          <w:rFonts w:ascii="宋体" w:hAnsi="宋体" w:cs="Arial"/>
          <w:color w:val="auto"/>
          <w:sz w:val="22"/>
          <w:szCs w:val="22"/>
          <w:highlight w:val="none"/>
        </w:rPr>
      </w:pPr>
      <w:r>
        <w:rPr>
          <w:rFonts w:hint="eastAsia" w:ascii="宋体" w:hAnsi="宋体" w:cs="Arial"/>
          <w:color w:val="auto"/>
          <w:sz w:val="22"/>
          <w:szCs w:val="22"/>
          <w:highlight w:val="none"/>
        </w:rPr>
        <w:t>2021年温州快鹿集团公司安保服务采购。</w:t>
      </w:r>
    </w:p>
    <w:p>
      <w:pPr>
        <w:tabs>
          <w:tab w:val="left" w:pos="680"/>
          <w:tab w:val="left" w:pos="840"/>
        </w:tabs>
        <w:spacing w:line="360" w:lineRule="auto"/>
        <w:rPr>
          <w:rFonts w:ascii="宋体" w:hAnsi="宋体" w:cs="Arial"/>
          <w:color w:val="auto"/>
          <w:sz w:val="22"/>
          <w:szCs w:val="22"/>
          <w:highlight w:val="none"/>
        </w:rPr>
      </w:pPr>
      <w:r>
        <w:rPr>
          <w:rFonts w:hint="eastAsia" w:ascii="宋体" w:hAnsi="宋体" w:cs="Arial"/>
          <w:color w:val="auto"/>
          <w:sz w:val="22"/>
          <w:szCs w:val="22"/>
          <w:highlight w:val="none"/>
        </w:rPr>
        <w:t>2、服务范围</w:t>
      </w:r>
    </w:p>
    <w:p>
      <w:pPr>
        <w:spacing w:line="360" w:lineRule="auto"/>
        <w:ind w:firstLine="440" w:firstLineChars="200"/>
        <w:rPr>
          <w:rFonts w:ascii="宋体" w:hAnsi="宋体" w:cs="Arial"/>
          <w:color w:val="auto"/>
          <w:sz w:val="22"/>
          <w:szCs w:val="22"/>
          <w:highlight w:val="none"/>
        </w:rPr>
      </w:pPr>
      <w:r>
        <w:rPr>
          <w:rFonts w:hint="eastAsia" w:ascii="宋体" w:hAnsi="宋体" w:cs="Arial"/>
          <w:color w:val="auto"/>
          <w:sz w:val="22"/>
          <w:szCs w:val="22"/>
          <w:highlight w:val="none"/>
        </w:rPr>
        <w:t>本项目服务范围包括承包区域内的保安管理服务，确保甲方单位正常的治安安全、消防安全、门岗及厂区秩序维护等。</w:t>
      </w:r>
    </w:p>
    <w:p>
      <w:pPr>
        <w:tabs>
          <w:tab w:val="left" w:pos="680"/>
          <w:tab w:val="left" w:pos="840"/>
        </w:tabs>
        <w:spacing w:line="360" w:lineRule="auto"/>
        <w:ind w:left="550" w:hanging="550" w:hangingChars="250"/>
        <w:rPr>
          <w:rFonts w:ascii="宋体" w:hAnsi="宋体" w:cs="Arial"/>
          <w:color w:val="auto"/>
          <w:sz w:val="22"/>
          <w:szCs w:val="22"/>
          <w:highlight w:val="none"/>
        </w:rPr>
      </w:pPr>
      <w:r>
        <w:rPr>
          <w:rFonts w:hint="eastAsia" w:ascii="宋体" w:hAnsi="宋体" w:cs="Arial"/>
          <w:color w:val="auto"/>
          <w:sz w:val="22"/>
          <w:szCs w:val="22"/>
          <w:highlight w:val="none"/>
        </w:rPr>
        <w:t>3、承包期限</w:t>
      </w:r>
    </w:p>
    <w:p>
      <w:pPr>
        <w:widowControl/>
        <w:tabs>
          <w:tab w:val="left" w:pos="540"/>
        </w:tabs>
        <w:spacing w:line="440" w:lineRule="exact"/>
        <w:ind w:firstLine="464" w:firstLineChars="200"/>
        <w:jc w:val="left"/>
        <w:rPr>
          <w:rFonts w:ascii="宋体" w:hAnsi="宋体" w:cs="Arial"/>
          <w:color w:val="auto"/>
          <w:szCs w:val="21"/>
          <w:highlight w:val="none"/>
        </w:rPr>
      </w:pPr>
      <w:r>
        <w:rPr>
          <w:rFonts w:hint="eastAsia" w:ascii="宋体" w:hAnsi="宋体" w:cs="Arial"/>
          <w:color w:val="auto"/>
          <w:spacing w:val="6"/>
          <w:sz w:val="22"/>
          <w:szCs w:val="22"/>
          <w:highlight w:val="none"/>
        </w:rPr>
        <w:t>本项目服务承包期限为1年</w:t>
      </w:r>
      <w:r>
        <w:rPr>
          <w:rFonts w:hint="eastAsia" w:ascii="宋体" w:hAnsi="宋体" w:cs="Arial"/>
          <w:color w:val="auto"/>
          <w:szCs w:val="21"/>
          <w:highlight w:val="none"/>
        </w:rPr>
        <w:t>，采用1+1+1的模式；在通过</w:t>
      </w:r>
      <w:r>
        <w:rPr>
          <w:rFonts w:hint="eastAsia" w:ascii="宋体" w:hAnsi="宋体" w:cs="Arial"/>
          <w:color w:val="auto"/>
          <w:szCs w:val="21"/>
          <w:highlight w:val="none"/>
          <w:lang w:val="en-US" w:eastAsia="zh-CN"/>
        </w:rPr>
        <w:t>采购人</w:t>
      </w:r>
      <w:r>
        <w:rPr>
          <w:rFonts w:hint="eastAsia" w:ascii="宋体" w:hAnsi="宋体" w:cs="Arial"/>
          <w:color w:val="auto"/>
          <w:szCs w:val="21"/>
          <w:highlight w:val="none"/>
        </w:rPr>
        <w:t>年度综合考核且综合考核成绩为优良（90分</w:t>
      </w:r>
      <w:r>
        <w:rPr>
          <w:rFonts w:hint="eastAsia" w:ascii="宋体" w:hAnsi="宋体" w:cs="Arial"/>
          <w:color w:val="auto"/>
          <w:szCs w:val="21"/>
          <w:highlight w:val="none"/>
          <w:lang w:val="en-US" w:eastAsia="zh-CN"/>
        </w:rPr>
        <w:t>（含）</w:t>
      </w:r>
      <w:r>
        <w:rPr>
          <w:rFonts w:hint="eastAsia" w:ascii="宋体" w:hAnsi="宋体" w:cs="Arial"/>
          <w:color w:val="auto"/>
          <w:szCs w:val="21"/>
          <w:highlight w:val="none"/>
        </w:rPr>
        <w:t>以上）的前提下，可续签下一年度服务合同，最多可续签二次。</w:t>
      </w:r>
      <w:r>
        <w:rPr>
          <w:rFonts w:hint="eastAsia" w:ascii="宋体" w:hAnsi="宋体" w:cs="仿宋"/>
          <w:color w:val="auto"/>
          <w:sz w:val="22"/>
          <w:szCs w:val="22"/>
          <w:highlight w:val="none"/>
        </w:rPr>
        <w:t>（</w:t>
      </w:r>
      <w:r>
        <w:rPr>
          <w:rFonts w:hint="eastAsia" w:ascii="宋体" w:hAnsi="宋体" w:cs="仿宋"/>
          <w:color w:val="auto"/>
          <w:sz w:val="22"/>
          <w:szCs w:val="22"/>
          <w:highlight w:val="none"/>
          <w:lang w:val="en-US" w:eastAsia="zh-CN"/>
        </w:rPr>
        <w:t>考核办法见</w:t>
      </w:r>
      <w:r>
        <w:rPr>
          <w:rFonts w:hint="eastAsia" w:ascii="宋体" w:hAnsi="宋体" w:eastAsia="宋体" w:cs="Tahoma"/>
          <w:color w:val="auto"/>
          <w:kern w:val="0"/>
          <w:szCs w:val="21"/>
          <w:highlight w:val="none"/>
        </w:rPr>
        <w:t>附表</w:t>
      </w:r>
      <w:r>
        <w:rPr>
          <w:rFonts w:hint="eastAsia" w:ascii="宋体" w:hAnsi="宋体" w:eastAsia="宋体" w:cs="Tahoma"/>
          <w:color w:val="auto"/>
          <w:kern w:val="0"/>
          <w:szCs w:val="21"/>
          <w:highlight w:val="none"/>
          <w:lang w:val="en-US" w:eastAsia="zh-CN"/>
        </w:rPr>
        <w:t>1《</w:t>
      </w:r>
      <w:r>
        <w:rPr>
          <w:rFonts w:hint="eastAsia" w:ascii="宋体" w:hAnsi="宋体" w:eastAsia="宋体" w:cs="Tahoma"/>
          <w:color w:val="auto"/>
          <w:kern w:val="0"/>
          <w:sz w:val="21"/>
          <w:szCs w:val="21"/>
          <w:highlight w:val="none"/>
        </w:rPr>
        <w:t>管理服务目标考核表</w:t>
      </w:r>
      <w:r>
        <w:rPr>
          <w:rFonts w:hint="eastAsia" w:ascii="宋体" w:hAnsi="宋体" w:eastAsia="宋体" w:cs="Tahoma"/>
          <w:color w:val="auto"/>
          <w:kern w:val="0"/>
          <w:sz w:val="21"/>
          <w:szCs w:val="21"/>
          <w:highlight w:val="none"/>
          <w:lang w:eastAsia="zh-CN"/>
        </w:rPr>
        <w:t>》</w:t>
      </w:r>
      <w:r>
        <w:rPr>
          <w:rFonts w:hint="eastAsia" w:ascii="宋体" w:hAnsi="宋体" w:eastAsia="宋体" w:cs="Tahoma"/>
          <w:color w:val="auto"/>
          <w:kern w:val="0"/>
          <w:sz w:val="21"/>
          <w:szCs w:val="21"/>
          <w:highlight w:val="none"/>
        </w:rPr>
        <w:t>）</w:t>
      </w:r>
    </w:p>
    <w:p>
      <w:pPr>
        <w:widowControl/>
        <w:tabs>
          <w:tab w:val="left" w:pos="540"/>
        </w:tabs>
        <w:spacing w:line="440" w:lineRule="exact"/>
        <w:ind w:firstLine="420" w:firstLineChars="200"/>
        <w:jc w:val="left"/>
        <w:rPr>
          <w:rFonts w:ascii="宋体" w:hAnsi="宋体" w:cs="Arial"/>
          <w:color w:val="auto"/>
          <w:spacing w:val="6"/>
          <w:sz w:val="22"/>
          <w:szCs w:val="22"/>
          <w:highlight w:val="none"/>
        </w:rPr>
      </w:pPr>
      <w:r>
        <w:rPr>
          <w:rFonts w:hint="eastAsia" w:ascii="宋体" w:hAnsi="宋体" w:cs="Arial"/>
          <w:color w:val="auto"/>
          <w:szCs w:val="21"/>
          <w:highlight w:val="none"/>
        </w:rPr>
        <w:t>2、</w:t>
      </w:r>
      <w:r>
        <w:rPr>
          <w:rFonts w:hint="eastAsia" w:ascii="宋体" w:hAnsi="宋体" w:cs="Tahoma"/>
          <w:color w:val="auto"/>
          <w:kern w:val="0"/>
          <w:szCs w:val="21"/>
          <w:highlight w:val="none"/>
        </w:rPr>
        <w:t>本年度合同</w:t>
      </w:r>
      <w:r>
        <w:rPr>
          <w:rFonts w:hint="eastAsia" w:ascii="宋体" w:hAnsi="宋体" w:cs="Arial"/>
          <w:color w:val="auto"/>
          <w:szCs w:val="21"/>
          <w:highlight w:val="none"/>
        </w:rPr>
        <w:t>期限</w:t>
      </w:r>
      <w:r>
        <w:rPr>
          <w:rFonts w:hint="eastAsia" w:ascii="宋体" w:hAnsi="宋体" w:cs="Tahoma"/>
          <w:color w:val="auto"/>
          <w:kern w:val="0"/>
          <w:szCs w:val="21"/>
          <w:highlight w:val="none"/>
        </w:rPr>
        <w:t>内，</w:t>
      </w:r>
      <w:r>
        <w:rPr>
          <w:rFonts w:hint="eastAsia" w:ascii="宋体" w:hAnsi="宋体" w:cs="Tahoma"/>
          <w:color w:val="auto"/>
          <w:kern w:val="0"/>
          <w:szCs w:val="21"/>
          <w:highlight w:val="none"/>
          <w:lang w:val="en-US" w:eastAsia="zh-CN"/>
        </w:rPr>
        <w:t>中标人</w:t>
      </w:r>
      <w:r>
        <w:rPr>
          <w:rFonts w:hint="eastAsia" w:ascii="宋体" w:hAnsi="宋体" w:cs="Tahoma"/>
          <w:color w:val="auto"/>
          <w:kern w:val="0"/>
          <w:szCs w:val="21"/>
          <w:highlight w:val="none"/>
        </w:rPr>
        <w:t>在</w:t>
      </w:r>
      <w:r>
        <w:rPr>
          <w:rFonts w:hint="eastAsia" w:ascii="宋体" w:hAnsi="宋体" w:cs="Tahoma"/>
          <w:color w:val="auto"/>
          <w:kern w:val="0"/>
          <w:szCs w:val="21"/>
          <w:highlight w:val="none"/>
          <w:lang w:val="en-US" w:eastAsia="zh-CN"/>
        </w:rPr>
        <w:t>采购人</w:t>
      </w:r>
      <w:r>
        <w:rPr>
          <w:rFonts w:hint="eastAsia" w:ascii="宋体" w:hAnsi="宋体" w:cs="Tahoma"/>
          <w:color w:val="auto"/>
          <w:kern w:val="0"/>
          <w:szCs w:val="21"/>
          <w:highlight w:val="none"/>
        </w:rPr>
        <w:t>月度考核中，出现三</w:t>
      </w:r>
      <w:r>
        <w:rPr>
          <w:rFonts w:hint="eastAsia" w:ascii="宋体" w:hAnsi="宋体" w:cs="Tahoma"/>
          <w:color w:val="auto"/>
          <w:kern w:val="0"/>
          <w:szCs w:val="21"/>
          <w:highlight w:val="none"/>
          <w:lang w:val="en-US" w:eastAsia="zh-CN"/>
        </w:rPr>
        <w:t>次</w:t>
      </w:r>
      <w:r>
        <w:rPr>
          <w:rFonts w:hint="eastAsia" w:ascii="宋体" w:hAnsi="宋体" w:cs="Tahoma"/>
          <w:color w:val="auto"/>
          <w:kern w:val="0"/>
          <w:szCs w:val="21"/>
          <w:highlight w:val="none"/>
        </w:rPr>
        <w:t>月度考核成绩在85分以下的，视为综合考核成绩不合格，自动取消下一年度续签合同资格；本年度合同</w:t>
      </w:r>
      <w:r>
        <w:rPr>
          <w:rFonts w:hint="eastAsia" w:ascii="宋体" w:hAnsi="宋体" w:cs="Arial"/>
          <w:color w:val="auto"/>
          <w:szCs w:val="21"/>
          <w:highlight w:val="none"/>
        </w:rPr>
        <w:t>期限</w:t>
      </w:r>
      <w:r>
        <w:rPr>
          <w:rFonts w:hint="eastAsia" w:ascii="宋体" w:hAnsi="宋体" w:cs="Tahoma"/>
          <w:color w:val="auto"/>
          <w:kern w:val="0"/>
          <w:szCs w:val="21"/>
          <w:highlight w:val="none"/>
        </w:rPr>
        <w:t>内，</w:t>
      </w:r>
      <w:r>
        <w:rPr>
          <w:rFonts w:hint="eastAsia" w:ascii="宋体" w:hAnsi="宋体" w:cs="Tahoma"/>
          <w:color w:val="auto"/>
          <w:kern w:val="0"/>
          <w:szCs w:val="21"/>
          <w:highlight w:val="none"/>
          <w:lang w:val="en-US" w:eastAsia="zh-CN"/>
        </w:rPr>
        <w:t>中标人</w:t>
      </w:r>
      <w:r>
        <w:rPr>
          <w:rFonts w:hint="eastAsia" w:ascii="宋体" w:hAnsi="宋体" w:cs="Tahoma"/>
          <w:color w:val="auto"/>
          <w:kern w:val="0"/>
          <w:szCs w:val="21"/>
          <w:highlight w:val="none"/>
        </w:rPr>
        <w:t>在</w:t>
      </w:r>
      <w:r>
        <w:rPr>
          <w:rFonts w:hint="eastAsia" w:ascii="宋体" w:hAnsi="宋体" w:cs="Tahoma"/>
          <w:color w:val="auto"/>
          <w:kern w:val="0"/>
          <w:szCs w:val="21"/>
          <w:highlight w:val="none"/>
          <w:lang w:val="en-US" w:eastAsia="zh-CN"/>
        </w:rPr>
        <w:t>采购人</w:t>
      </w:r>
      <w:r>
        <w:rPr>
          <w:rFonts w:hint="eastAsia" w:ascii="宋体" w:hAnsi="宋体" w:cs="Tahoma"/>
          <w:color w:val="auto"/>
          <w:kern w:val="0"/>
          <w:szCs w:val="21"/>
          <w:highlight w:val="none"/>
        </w:rPr>
        <w:t>月度考核中，出现五次月度考核成绩在90分以下的，视为综合考核成绩不合格，自动取消下一年度续签合同资格。</w:t>
      </w:r>
      <w:r>
        <w:rPr>
          <w:rFonts w:hint="eastAsia" w:ascii="宋体" w:hAnsi="宋体" w:cs="仿宋"/>
          <w:color w:val="auto"/>
          <w:sz w:val="22"/>
          <w:szCs w:val="22"/>
          <w:highlight w:val="none"/>
        </w:rPr>
        <w:t>（</w:t>
      </w:r>
      <w:r>
        <w:rPr>
          <w:rFonts w:hint="eastAsia" w:ascii="宋体" w:hAnsi="宋体" w:cs="仿宋"/>
          <w:color w:val="auto"/>
          <w:sz w:val="22"/>
          <w:szCs w:val="22"/>
          <w:highlight w:val="none"/>
          <w:lang w:val="en-US" w:eastAsia="zh-CN"/>
        </w:rPr>
        <w:t>考核办法见</w:t>
      </w:r>
      <w:r>
        <w:rPr>
          <w:rFonts w:hint="eastAsia" w:ascii="宋体" w:hAnsi="宋体" w:eastAsia="宋体" w:cs="Tahoma"/>
          <w:color w:val="auto"/>
          <w:kern w:val="0"/>
          <w:szCs w:val="21"/>
          <w:highlight w:val="none"/>
        </w:rPr>
        <w:t>附表</w:t>
      </w:r>
      <w:r>
        <w:rPr>
          <w:rFonts w:hint="eastAsia" w:ascii="宋体" w:hAnsi="宋体" w:eastAsia="宋体" w:cs="Tahoma"/>
          <w:color w:val="auto"/>
          <w:kern w:val="0"/>
          <w:szCs w:val="21"/>
          <w:highlight w:val="none"/>
          <w:lang w:val="en-US" w:eastAsia="zh-CN"/>
        </w:rPr>
        <w:t>1《</w:t>
      </w:r>
      <w:r>
        <w:rPr>
          <w:rFonts w:hint="eastAsia" w:ascii="宋体" w:hAnsi="宋体" w:eastAsia="宋体" w:cs="Tahoma"/>
          <w:color w:val="auto"/>
          <w:kern w:val="0"/>
          <w:sz w:val="21"/>
          <w:szCs w:val="21"/>
          <w:highlight w:val="none"/>
        </w:rPr>
        <w:t>管理服务目标考核表</w:t>
      </w:r>
      <w:r>
        <w:rPr>
          <w:rFonts w:hint="eastAsia" w:ascii="宋体" w:hAnsi="宋体" w:eastAsia="宋体" w:cs="Tahoma"/>
          <w:color w:val="auto"/>
          <w:kern w:val="0"/>
          <w:sz w:val="21"/>
          <w:szCs w:val="21"/>
          <w:highlight w:val="none"/>
          <w:lang w:eastAsia="zh-CN"/>
        </w:rPr>
        <w:t>》</w:t>
      </w:r>
      <w:r>
        <w:rPr>
          <w:rFonts w:hint="eastAsia" w:ascii="宋体" w:hAnsi="宋体" w:eastAsia="宋体" w:cs="Tahoma"/>
          <w:color w:val="auto"/>
          <w:kern w:val="0"/>
          <w:sz w:val="21"/>
          <w:szCs w:val="21"/>
          <w:highlight w:val="none"/>
        </w:rPr>
        <w:t>）</w:t>
      </w:r>
    </w:p>
    <w:p>
      <w:pPr>
        <w:tabs>
          <w:tab w:val="left" w:pos="680"/>
          <w:tab w:val="left" w:pos="840"/>
        </w:tabs>
        <w:spacing w:line="360" w:lineRule="auto"/>
        <w:ind w:firstLine="464" w:firstLineChars="200"/>
        <w:rPr>
          <w:rFonts w:ascii="宋体" w:hAnsi="宋体" w:cs="Arial"/>
          <w:color w:val="auto"/>
          <w:spacing w:val="6"/>
          <w:sz w:val="22"/>
          <w:szCs w:val="22"/>
          <w:highlight w:val="none"/>
        </w:rPr>
      </w:pPr>
    </w:p>
    <w:p>
      <w:pPr>
        <w:tabs>
          <w:tab w:val="left" w:pos="680"/>
          <w:tab w:val="left" w:pos="840"/>
        </w:tabs>
        <w:spacing w:line="360" w:lineRule="auto"/>
        <w:ind w:left="550" w:hanging="550" w:hangingChars="250"/>
        <w:rPr>
          <w:rFonts w:ascii="宋体" w:hAnsi="宋体" w:cs="Arial"/>
          <w:color w:val="auto"/>
          <w:sz w:val="22"/>
          <w:szCs w:val="22"/>
          <w:highlight w:val="none"/>
        </w:rPr>
      </w:pPr>
      <w:r>
        <w:rPr>
          <w:rFonts w:hint="eastAsia" w:ascii="宋体" w:hAnsi="宋体" w:cs="Arial"/>
          <w:color w:val="auto"/>
          <w:sz w:val="22"/>
          <w:szCs w:val="22"/>
          <w:highlight w:val="none"/>
        </w:rPr>
        <w:t>4、▲</w:t>
      </w:r>
      <w:r>
        <w:rPr>
          <w:rFonts w:hint="eastAsia" w:ascii="宋体" w:hAnsi="宋体" w:cs="Arial"/>
          <w:color w:val="auto"/>
          <w:sz w:val="22"/>
          <w:szCs w:val="22"/>
          <w:highlight w:val="none"/>
          <w:u w:val="single"/>
        </w:rPr>
        <w:t>本项目采购预算为（￥750000），供应商报价不得超过该预算，否则作无效标处理</w:t>
      </w:r>
      <w:r>
        <w:rPr>
          <w:rFonts w:hint="eastAsia" w:ascii="宋体" w:hAnsi="宋体" w:cs="Arial"/>
          <w:color w:val="auto"/>
          <w:sz w:val="22"/>
          <w:szCs w:val="22"/>
          <w:highlight w:val="none"/>
        </w:rPr>
        <w:t>。</w:t>
      </w:r>
    </w:p>
    <w:p>
      <w:pPr>
        <w:spacing w:line="360" w:lineRule="auto"/>
        <w:rPr>
          <w:rFonts w:ascii="宋体" w:hAnsi="宋体" w:cs="Arial"/>
          <w:color w:val="auto"/>
          <w:spacing w:val="6"/>
          <w:sz w:val="22"/>
          <w:szCs w:val="22"/>
          <w:highlight w:val="none"/>
        </w:rPr>
      </w:pPr>
      <w:r>
        <w:rPr>
          <w:rFonts w:hint="eastAsia" w:ascii="宋体" w:hAnsi="宋体" w:cs="Arial"/>
          <w:color w:val="auto"/>
          <w:sz w:val="22"/>
          <w:szCs w:val="22"/>
          <w:highlight w:val="none"/>
        </w:rPr>
        <w:t>5、</w:t>
      </w:r>
      <w:r>
        <w:rPr>
          <w:rFonts w:hint="eastAsia" w:ascii="宋体" w:hAnsi="宋体" w:cs="Arial"/>
          <w:color w:val="auto"/>
          <w:spacing w:val="6"/>
          <w:sz w:val="22"/>
          <w:szCs w:val="22"/>
          <w:highlight w:val="none"/>
        </w:rPr>
        <w:t>进场时间要求</w:t>
      </w:r>
    </w:p>
    <w:p>
      <w:pPr>
        <w:tabs>
          <w:tab w:val="left" w:pos="680"/>
          <w:tab w:val="left" w:pos="840"/>
        </w:tabs>
        <w:spacing w:line="360" w:lineRule="auto"/>
        <w:ind w:left="549" w:leftChars="52" w:hanging="440" w:hangingChars="200"/>
        <w:rPr>
          <w:rFonts w:ascii="宋体" w:hAnsi="宋体" w:cs="Arial"/>
          <w:color w:val="auto"/>
          <w:spacing w:val="6"/>
          <w:sz w:val="22"/>
          <w:szCs w:val="22"/>
          <w:highlight w:val="none"/>
        </w:rPr>
      </w:pPr>
      <w:r>
        <w:rPr>
          <w:rFonts w:hint="eastAsia" w:ascii="宋体" w:hAnsi="宋体"/>
          <w:color w:val="auto"/>
          <w:sz w:val="22"/>
          <w:szCs w:val="22"/>
          <w:highlight w:val="none"/>
        </w:rPr>
        <w:t>▲</w:t>
      </w:r>
      <w:r>
        <w:rPr>
          <w:rFonts w:ascii="宋体" w:hAnsi="宋体" w:cs="Arial"/>
          <w:color w:val="auto"/>
          <w:sz w:val="22"/>
          <w:szCs w:val="22"/>
          <w:highlight w:val="none"/>
          <w:u w:val="single"/>
        </w:rPr>
        <w:t>中标供应商</w:t>
      </w:r>
      <w:r>
        <w:rPr>
          <w:rFonts w:hint="eastAsia" w:ascii="宋体" w:hAnsi="宋体" w:cs="Arial"/>
          <w:color w:val="auto"/>
          <w:sz w:val="22"/>
          <w:szCs w:val="22"/>
          <w:highlight w:val="none"/>
          <w:u w:val="single"/>
        </w:rPr>
        <w:t>必须</w:t>
      </w:r>
      <w:r>
        <w:rPr>
          <w:rFonts w:ascii="宋体" w:hAnsi="宋体" w:cs="Arial"/>
          <w:color w:val="auto"/>
          <w:sz w:val="22"/>
          <w:szCs w:val="22"/>
          <w:highlight w:val="none"/>
          <w:u w:val="single"/>
        </w:rPr>
        <w:t>在</w:t>
      </w:r>
      <w:r>
        <w:rPr>
          <w:rFonts w:hint="eastAsia" w:ascii="宋体" w:hAnsi="宋体" w:cs="Arial"/>
          <w:color w:val="auto"/>
          <w:sz w:val="22"/>
          <w:szCs w:val="22"/>
          <w:highlight w:val="none"/>
          <w:u w:val="single"/>
        </w:rPr>
        <w:t>中标通知书发出之日起5个日历天内按招标文件要求及投标文件承诺组建好队伍进场全面开展服务</w:t>
      </w:r>
      <w:r>
        <w:rPr>
          <w:rFonts w:ascii="宋体" w:hAnsi="宋体" w:cs="Arial"/>
          <w:color w:val="auto"/>
          <w:sz w:val="22"/>
          <w:szCs w:val="22"/>
          <w:highlight w:val="none"/>
          <w:u w:val="single"/>
        </w:rPr>
        <w:t>。</w:t>
      </w:r>
      <w:r>
        <w:rPr>
          <w:rFonts w:hint="eastAsia" w:ascii="宋体" w:hAnsi="宋体"/>
          <w:color w:val="auto"/>
          <w:sz w:val="22"/>
          <w:szCs w:val="22"/>
          <w:highlight w:val="none"/>
          <w:u w:val="single"/>
        </w:rPr>
        <w:t>若中标供应商不能在规定期限</w:t>
      </w:r>
      <w:r>
        <w:rPr>
          <w:rFonts w:hint="eastAsia" w:ascii="宋体" w:hAnsi="宋体" w:cs="Arial"/>
          <w:color w:val="auto"/>
          <w:sz w:val="22"/>
          <w:szCs w:val="22"/>
          <w:highlight w:val="none"/>
          <w:u w:val="single"/>
        </w:rPr>
        <w:t>进场全面开展服务</w:t>
      </w:r>
      <w:r>
        <w:rPr>
          <w:rFonts w:hint="eastAsia" w:ascii="宋体" w:hAnsi="宋体"/>
          <w:color w:val="auto"/>
          <w:sz w:val="22"/>
          <w:szCs w:val="22"/>
          <w:highlight w:val="none"/>
          <w:u w:val="single"/>
        </w:rPr>
        <w:t>，按中标供应商放弃中标资格论处。采购人可视具体情况确定是否由排名第二的候选供应商为中标供应商。</w:t>
      </w:r>
    </w:p>
    <w:p>
      <w:pPr>
        <w:tabs>
          <w:tab w:val="left" w:pos="680"/>
          <w:tab w:val="left" w:pos="840"/>
        </w:tabs>
        <w:spacing w:line="360" w:lineRule="auto"/>
        <w:jc w:val="left"/>
        <w:rPr>
          <w:rFonts w:ascii="宋体" w:hAnsi="宋体" w:cs="Arial"/>
          <w:color w:val="auto"/>
          <w:spacing w:val="6"/>
          <w:sz w:val="22"/>
          <w:szCs w:val="22"/>
          <w:highlight w:val="none"/>
        </w:rPr>
      </w:pPr>
      <w:r>
        <w:rPr>
          <w:rFonts w:hint="eastAsia" w:ascii="宋体" w:hAnsi="宋体" w:cs="Arial"/>
          <w:b/>
          <w:bCs/>
          <w:color w:val="auto"/>
          <w:spacing w:val="6"/>
          <w:sz w:val="22"/>
          <w:szCs w:val="22"/>
          <w:highlight w:val="none"/>
        </w:rPr>
        <w:t>二、具体服务内容及要求</w:t>
      </w:r>
    </w:p>
    <w:p>
      <w:pPr>
        <w:tabs>
          <w:tab w:val="left" w:pos="680"/>
          <w:tab w:val="left" w:pos="840"/>
        </w:tabs>
        <w:spacing w:line="360" w:lineRule="auto"/>
        <w:rPr>
          <w:rFonts w:ascii="宋体" w:hAnsi="宋体" w:cs="Arial"/>
          <w:color w:val="auto"/>
          <w:spacing w:val="6"/>
          <w:sz w:val="22"/>
          <w:szCs w:val="22"/>
          <w:highlight w:val="none"/>
        </w:rPr>
      </w:pPr>
      <w:r>
        <w:rPr>
          <w:rFonts w:ascii="宋体" w:hAnsi="宋体" w:cs="Arial"/>
          <w:color w:val="auto"/>
          <w:spacing w:val="6"/>
          <w:sz w:val="22"/>
          <w:szCs w:val="22"/>
          <w:highlight w:val="none"/>
        </w:rPr>
        <w:t>1</w:t>
      </w:r>
      <w:r>
        <w:rPr>
          <w:rFonts w:hint="eastAsia" w:ascii="宋体" w:hAnsi="宋体" w:cs="Arial"/>
          <w:color w:val="auto"/>
          <w:spacing w:val="6"/>
          <w:sz w:val="22"/>
          <w:szCs w:val="22"/>
          <w:highlight w:val="none"/>
        </w:rPr>
        <w:t>、服务内容：消防、治安、门卫管理、车辆管理、宿管</w:t>
      </w:r>
    </w:p>
    <w:p>
      <w:pPr>
        <w:tabs>
          <w:tab w:val="left" w:pos="680"/>
          <w:tab w:val="left" w:pos="840"/>
        </w:tabs>
        <w:spacing w:line="360" w:lineRule="auto"/>
        <w:rPr>
          <w:rFonts w:ascii="宋体" w:hAnsi="宋体" w:cs="Arial"/>
          <w:color w:val="auto"/>
          <w:spacing w:val="6"/>
          <w:sz w:val="22"/>
          <w:szCs w:val="22"/>
          <w:highlight w:val="none"/>
        </w:rPr>
      </w:pPr>
      <w:r>
        <w:rPr>
          <w:rFonts w:ascii="宋体" w:hAnsi="宋体" w:cs="Arial"/>
          <w:color w:val="auto"/>
          <w:spacing w:val="6"/>
          <w:sz w:val="22"/>
          <w:szCs w:val="22"/>
          <w:highlight w:val="none"/>
        </w:rPr>
        <w:t>2</w:t>
      </w:r>
      <w:r>
        <w:rPr>
          <w:rFonts w:hint="eastAsia" w:ascii="宋体" w:hAnsi="宋体" w:cs="Arial"/>
          <w:color w:val="auto"/>
          <w:spacing w:val="6"/>
          <w:sz w:val="22"/>
          <w:szCs w:val="22"/>
          <w:highlight w:val="none"/>
        </w:rPr>
        <w:t>、工作制度：白天、夜晚</w:t>
      </w:r>
      <w:r>
        <w:rPr>
          <w:rFonts w:ascii="宋体" w:hAnsi="宋体" w:cs="Arial"/>
          <w:color w:val="auto"/>
          <w:spacing w:val="6"/>
          <w:sz w:val="22"/>
          <w:szCs w:val="22"/>
          <w:highlight w:val="none"/>
        </w:rPr>
        <w:t>24</w:t>
      </w:r>
      <w:r>
        <w:rPr>
          <w:rFonts w:hint="eastAsia" w:ascii="宋体" w:hAnsi="宋体" w:cs="Arial"/>
          <w:color w:val="auto"/>
          <w:spacing w:val="6"/>
          <w:sz w:val="22"/>
          <w:szCs w:val="22"/>
          <w:highlight w:val="none"/>
        </w:rPr>
        <w:t>小时运行。</w:t>
      </w:r>
      <w:r>
        <w:rPr>
          <w:rFonts w:ascii="宋体" w:hAnsi="宋体" w:cs="Arial"/>
          <w:color w:val="auto"/>
          <w:spacing w:val="6"/>
          <w:sz w:val="22"/>
          <w:szCs w:val="22"/>
          <w:highlight w:val="none"/>
        </w:rPr>
        <w:t xml:space="preserve"> </w:t>
      </w:r>
    </w:p>
    <w:p>
      <w:pPr>
        <w:tabs>
          <w:tab w:val="left" w:pos="680"/>
          <w:tab w:val="left" w:pos="840"/>
        </w:tabs>
        <w:spacing w:line="360" w:lineRule="auto"/>
        <w:rPr>
          <w:rFonts w:ascii="宋体" w:hAnsi="宋体" w:cs="Arial"/>
          <w:color w:val="auto"/>
          <w:spacing w:val="6"/>
          <w:sz w:val="22"/>
          <w:szCs w:val="22"/>
          <w:highlight w:val="none"/>
        </w:rPr>
      </w:pPr>
      <w:r>
        <w:rPr>
          <w:rFonts w:ascii="宋体" w:hAnsi="宋体" w:cs="Arial"/>
          <w:color w:val="auto"/>
          <w:spacing w:val="6"/>
          <w:sz w:val="22"/>
          <w:szCs w:val="22"/>
          <w:highlight w:val="none"/>
        </w:rPr>
        <w:t>3</w:t>
      </w:r>
      <w:r>
        <w:rPr>
          <w:rFonts w:hint="eastAsia" w:ascii="宋体" w:hAnsi="宋体" w:cs="Arial"/>
          <w:color w:val="auto"/>
          <w:spacing w:val="6"/>
          <w:sz w:val="22"/>
          <w:szCs w:val="22"/>
          <w:highlight w:val="none"/>
        </w:rPr>
        <w:t>、服务要求</w:t>
      </w:r>
      <w:r>
        <w:rPr>
          <w:rFonts w:ascii="宋体" w:hAnsi="宋体" w:cs="Arial"/>
          <w:color w:val="auto"/>
          <w:spacing w:val="6"/>
          <w:sz w:val="22"/>
          <w:szCs w:val="22"/>
          <w:highlight w:val="none"/>
        </w:rPr>
        <w:t xml:space="preserve">: </w:t>
      </w:r>
    </w:p>
    <w:p>
      <w:pPr>
        <w:tabs>
          <w:tab w:val="left" w:pos="680"/>
          <w:tab w:val="left" w:pos="840"/>
        </w:tabs>
        <w:spacing w:line="360" w:lineRule="auto"/>
        <w:rPr>
          <w:rFonts w:ascii="宋体" w:hAnsi="宋体" w:cs="Arial"/>
          <w:color w:val="auto"/>
          <w:spacing w:val="6"/>
          <w:sz w:val="22"/>
          <w:szCs w:val="22"/>
          <w:highlight w:val="none"/>
        </w:rPr>
      </w:pPr>
      <w:r>
        <w:rPr>
          <w:rFonts w:ascii="宋体" w:hAnsi="宋体" w:cs="Arial"/>
          <w:color w:val="auto"/>
          <w:spacing w:val="6"/>
          <w:sz w:val="22"/>
          <w:szCs w:val="22"/>
          <w:highlight w:val="none"/>
        </w:rPr>
        <w:t>(</w:t>
      </w:r>
      <w:r>
        <w:rPr>
          <w:rFonts w:hint="eastAsia" w:ascii="宋体" w:hAnsi="宋体" w:cs="Arial"/>
          <w:color w:val="auto"/>
          <w:spacing w:val="6"/>
          <w:sz w:val="22"/>
          <w:szCs w:val="22"/>
          <w:highlight w:val="none"/>
        </w:rPr>
        <w:t>一</w:t>
      </w:r>
      <w:r>
        <w:rPr>
          <w:rFonts w:ascii="宋体" w:hAnsi="宋体" w:cs="Arial"/>
          <w:color w:val="auto"/>
          <w:spacing w:val="6"/>
          <w:sz w:val="22"/>
          <w:szCs w:val="22"/>
          <w:highlight w:val="none"/>
        </w:rPr>
        <w:t>)</w:t>
      </w:r>
      <w:r>
        <w:rPr>
          <w:rFonts w:hint="eastAsia" w:ascii="宋体" w:hAnsi="宋体" w:cs="Arial"/>
          <w:color w:val="auto"/>
          <w:spacing w:val="6"/>
          <w:sz w:val="22"/>
          <w:szCs w:val="22"/>
          <w:highlight w:val="none"/>
        </w:rPr>
        <w:t>人员要求</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hint="eastAsia" w:ascii="宋体" w:hAnsi="宋体" w:cs="Arial"/>
          <w:color w:val="auto"/>
          <w:spacing w:val="6"/>
          <w:sz w:val="22"/>
          <w:szCs w:val="22"/>
          <w:highlight w:val="none"/>
        </w:rPr>
        <w:t>专业人员以中青年为主，男性，年龄不得超过</w:t>
      </w:r>
      <w:r>
        <w:rPr>
          <w:rFonts w:ascii="宋体" w:hAnsi="宋体" w:cs="Arial"/>
          <w:color w:val="auto"/>
          <w:spacing w:val="6"/>
          <w:sz w:val="22"/>
          <w:szCs w:val="22"/>
          <w:highlight w:val="none"/>
        </w:rPr>
        <w:t xml:space="preserve"> 5</w:t>
      </w:r>
      <w:r>
        <w:rPr>
          <w:rFonts w:hint="eastAsia" w:ascii="宋体" w:hAnsi="宋体" w:cs="Arial"/>
          <w:color w:val="auto"/>
          <w:spacing w:val="6"/>
          <w:sz w:val="22"/>
          <w:szCs w:val="22"/>
          <w:highlight w:val="none"/>
        </w:rPr>
        <w:t>4周岁，保安队长、带队班长年龄不超过49周岁；身体健康，工作认真负责并定期接受培训；</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u w:val="single"/>
        </w:rPr>
      </w:pPr>
      <w:r>
        <w:rPr>
          <w:rFonts w:hint="eastAsia" w:ascii="宋体" w:hAnsi="宋体" w:cs="宋体"/>
          <w:color w:val="auto"/>
          <w:spacing w:val="6"/>
          <w:sz w:val="22"/>
          <w:szCs w:val="22"/>
          <w:highlight w:val="none"/>
          <w:u w:val="single"/>
        </w:rPr>
        <w:t>▲</w:t>
      </w:r>
      <w:r>
        <w:rPr>
          <w:rFonts w:ascii="宋体" w:hAnsi="宋体" w:cs="Arial"/>
          <w:color w:val="auto"/>
          <w:spacing w:val="6"/>
          <w:sz w:val="22"/>
          <w:szCs w:val="22"/>
          <w:highlight w:val="none"/>
          <w:u w:val="single"/>
        </w:rPr>
        <w:t>1</w:t>
      </w:r>
      <w:r>
        <w:rPr>
          <w:rFonts w:hint="eastAsia" w:ascii="宋体" w:hAnsi="宋体" w:cs="Arial"/>
          <w:color w:val="auto"/>
          <w:spacing w:val="6"/>
          <w:sz w:val="22"/>
          <w:szCs w:val="22"/>
          <w:highlight w:val="none"/>
          <w:u w:val="single"/>
        </w:rPr>
        <w:t>．人员配备：要求兴平路厂区共6人（其中设置1名保安队长）。滨海厂区共6人（其中设置1名保安队长）。人员必须具有保安上岗证，12人之中必须有4人具备消控证，24小时值守厂区消控室。</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2</w:t>
      </w:r>
      <w:r>
        <w:rPr>
          <w:rFonts w:hint="eastAsia" w:ascii="宋体" w:hAnsi="宋体" w:cs="Arial"/>
          <w:color w:val="auto"/>
          <w:spacing w:val="6"/>
          <w:sz w:val="22"/>
          <w:szCs w:val="22"/>
          <w:highlight w:val="none"/>
        </w:rPr>
        <w:t>．</w:t>
      </w:r>
      <w:r>
        <w:rPr>
          <w:rFonts w:ascii="宋体" w:hAnsi="宋体" w:cs="Arial"/>
          <w:color w:val="auto"/>
          <w:spacing w:val="6"/>
          <w:sz w:val="22"/>
          <w:szCs w:val="22"/>
          <w:highlight w:val="none"/>
        </w:rPr>
        <w:t xml:space="preserve"> </w:t>
      </w:r>
      <w:r>
        <w:rPr>
          <w:rFonts w:hint="eastAsia" w:ascii="宋体" w:hAnsi="宋体" w:cs="Arial"/>
          <w:color w:val="auto"/>
          <w:spacing w:val="6"/>
          <w:sz w:val="22"/>
          <w:szCs w:val="22"/>
          <w:highlight w:val="none"/>
        </w:rPr>
        <w:t>熟悉厂区的环境，能处理和应对厂区公共秩序维护工作，能正确使用各类消防、物防、技防器械和设备，能够熟悉、掌握各类刑事、治安案件和各类灾害事故的应急预案；</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3</w:t>
      </w:r>
      <w:r>
        <w:rPr>
          <w:rFonts w:hint="eastAsia" w:ascii="宋体" w:hAnsi="宋体" w:cs="Arial"/>
          <w:color w:val="auto"/>
          <w:spacing w:val="6"/>
          <w:sz w:val="22"/>
          <w:szCs w:val="22"/>
          <w:highlight w:val="none"/>
        </w:rPr>
        <w:t>．上岗时佩戴统一标志，按需求穿戴统一制服（精致），装备佩戴规范，仪容仪表规范整齐，当值时坐姿挺直，站岗时不倚不靠、采用跨立站岗。</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4</w:t>
      </w:r>
      <w:r>
        <w:rPr>
          <w:rFonts w:hint="eastAsia" w:ascii="宋体" w:hAnsi="宋体" w:cs="Arial"/>
          <w:color w:val="auto"/>
          <w:spacing w:val="6"/>
          <w:sz w:val="22"/>
          <w:szCs w:val="22"/>
          <w:highlight w:val="none"/>
        </w:rPr>
        <w:t>．文明执勤，训练有素，言语规范，认真负责；配备对讲装置和其他必备的安全护卫器械。</w:t>
      </w:r>
    </w:p>
    <w:p>
      <w:pPr>
        <w:tabs>
          <w:tab w:val="left" w:pos="680"/>
          <w:tab w:val="left" w:pos="840"/>
        </w:tabs>
        <w:spacing w:line="360" w:lineRule="auto"/>
        <w:rPr>
          <w:rFonts w:ascii="宋体" w:hAnsi="宋体" w:cs="Arial"/>
          <w:color w:val="auto"/>
          <w:spacing w:val="6"/>
          <w:sz w:val="22"/>
          <w:szCs w:val="22"/>
          <w:highlight w:val="none"/>
        </w:rPr>
      </w:pPr>
      <w:r>
        <w:rPr>
          <w:rFonts w:ascii="宋体" w:hAnsi="宋体" w:cs="Arial"/>
          <w:color w:val="auto"/>
          <w:spacing w:val="6"/>
          <w:sz w:val="22"/>
          <w:szCs w:val="22"/>
          <w:highlight w:val="none"/>
        </w:rPr>
        <w:t>(</w:t>
      </w:r>
      <w:r>
        <w:rPr>
          <w:rFonts w:hint="eastAsia" w:ascii="宋体" w:hAnsi="宋体" w:cs="Arial"/>
          <w:color w:val="auto"/>
          <w:spacing w:val="6"/>
          <w:sz w:val="22"/>
          <w:szCs w:val="22"/>
          <w:highlight w:val="none"/>
        </w:rPr>
        <w:t>二</w:t>
      </w:r>
      <w:r>
        <w:rPr>
          <w:rFonts w:ascii="宋体" w:hAnsi="宋体" w:cs="Arial"/>
          <w:color w:val="auto"/>
          <w:spacing w:val="6"/>
          <w:sz w:val="22"/>
          <w:szCs w:val="22"/>
          <w:highlight w:val="none"/>
        </w:rPr>
        <w:t>)</w:t>
      </w:r>
      <w:r>
        <w:rPr>
          <w:rFonts w:hint="eastAsia" w:ascii="宋体" w:hAnsi="宋体" w:cs="Arial"/>
          <w:color w:val="auto"/>
          <w:spacing w:val="6"/>
          <w:sz w:val="22"/>
          <w:szCs w:val="22"/>
          <w:highlight w:val="none"/>
        </w:rPr>
        <w:t>服务内容</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1</w:t>
      </w:r>
      <w:r>
        <w:rPr>
          <w:rFonts w:hint="eastAsia" w:ascii="宋体" w:hAnsi="宋体" w:cs="Arial"/>
          <w:color w:val="auto"/>
          <w:spacing w:val="6"/>
          <w:sz w:val="22"/>
          <w:szCs w:val="22"/>
          <w:highlight w:val="none"/>
        </w:rPr>
        <w:t>．担任门卫任务的保安员要按规定着装，携带经公安机关批准使用的防护用具。根据需要携带对讲机。备有门卫勤务登记簿。</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2</w:t>
      </w:r>
      <w:r>
        <w:rPr>
          <w:rFonts w:hint="eastAsia" w:ascii="宋体" w:hAnsi="宋体" w:cs="Arial"/>
          <w:color w:val="auto"/>
          <w:spacing w:val="6"/>
          <w:sz w:val="22"/>
          <w:szCs w:val="22"/>
          <w:highlight w:val="none"/>
        </w:rPr>
        <w:t>．执勤巡逻：每日不定时地对厂区的各个角落进行巡逻、排查及时发现并排除安全隐患，堵塞安全漏洞。</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3</w:t>
      </w:r>
      <w:r>
        <w:rPr>
          <w:rFonts w:hint="eastAsia" w:ascii="宋体" w:hAnsi="宋体" w:cs="Arial"/>
          <w:color w:val="auto"/>
          <w:spacing w:val="6"/>
          <w:sz w:val="22"/>
          <w:szCs w:val="22"/>
          <w:highlight w:val="none"/>
        </w:rPr>
        <w:t>．车辆管理：引导厂区工作人员及来访客人的私车按规定有序停放，禁止其它无关车辆进入厂区。</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4</w:t>
      </w:r>
      <w:r>
        <w:rPr>
          <w:rFonts w:hint="eastAsia" w:ascii="宋体" w:hAnsi="宋体" w:cs="Arial"/>
          <w:color w:val="auto"/>
          <w:spacing w:val="6"/>
          <w:sz w:val="22"/>
          <w:szCs w:val="22"/>
          <w:highlight w:val="none"/>
        </w:rPr>
        <w:t>．夜间值班：禁止无关人员、车辆进入厂区内；不定时的对厂区各个角落及周边进行巡逻，及时发现并排除隐患。</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5</w:t>
      </w:r>
      <w:r>
        <w:rPr>
          <w:rFonts w:hint="eastAsia" w:ascii="宋体" w:hAnsi="宋体" w:cs="Arial"/>
          <w:color w:val="auto"/>
          <w:spacing w:val="6"/>
          <w:sz w:val="22"/>
          <w:szCs w:val="22"/>
          <w:highlight w:val="none"/>
        </w:rPr>
        <w:t>．对厂区内或者周边发生的口角、斗殴等纠纷及时进行劝解，并向有关领导报告。</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6</w:t>
      </w:r>
      <w:r>
        <w:rPr>
          <w:rFonts w:hint="eastAsia" w:ascii="宋体" w:hAnsi="宋体" w:cs="Arial"/>
          <w:color w:val="auto"/>
          <w:spacing w:val="6"/>
          <w:sz w:val="22"/>
          <w:szCs w:val="22"/>
          <w:highlight w:val="none"/>
        </w:rPr>
        <w:t>．如在厂区内发生刑事案件或者灾害、事故的要立即保护现场，并及时向有关领导或者公安机关报告。</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7</w:t>
      </w:r>
      <w:r>
        <w:rPr>
          <w:rFonts w:hint="eastAsia" w:ascii="宋体" w:hAnsi="宋体" w:cs="Arial"/>
          <w:color w:val="auto"/>
          <w:spacing w:val="6"/>
          <w:sz w:val="22"/>
          <w:szCs w:val="22"/>
          <w:highlight w:val="none"/>
        </w:rPr>
        <w:t>．做好防火、防盗、防破坏、防伤等工作。</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8</w:t>
      </w:r>
      <w:r>
        <w:rPr>
          <w:rFonts w:hint="eastAsia" w:ascii="宋体" w:hAnsi="宋体" w:cs="Arial"/>
          <w:color w:val="auto"/>
          <w:spacing w:val="6"/>
          <w:sz w:val="22"/>
          <w:szCs w:val="22"/>
          <w:highlight w:val="none"/>
        </w:rPr>
        <w:t>．领导交办的与安全防范有关的其它任务。</w:t>
      </w:r>
    </w:p>
    <w:p>
      <w:pPr>
        <w:tabs>
          <w:tab w:val="left" w:pos="680"/>
          <w:tab w:val="left" w:pos="840"/>
        </w:tabs>
        <w:spacing w:line="360" w:lineRule="auto"/>
        <w:rPr>
          <w:rFonts w:ascii="宋体" w:hAnsi="宋体" w:cs="Arial"/>
          <w:color w:val="auto"/>
          <w:spacing w:val="6"/>
          <w:sz w:val="22"/>
          <w:szCs w:val="22"/>
          <w:highlight w:val="none"/>
        </w:rPr>
      </w:pPr>
      <w:r>
        <w:rPr>
          <w:rFonts w:ascii="宋体" w:hAnsi="宋体" w:cs="Arial"/>
          <w:color w:val="auto"/>
          <w:spacing w:val="6"/>
          <w:sz w:val="22"/>
          <w:szCs w:val="22"/>
          <w:highlight w:val="none"/>
        </w:rPr>
        <w:t>(</w:t>
      </w:r>
      <w:r>
        <w:rPr>
          <w:rFonts w:hint="eastAsia" w:ascii="宋体" w:hAnsi="宋体" w:cs="Arial"/>
          <w:color w:val="auto"/>
          <w:spacing w:val="6"/>
          <w:sz w:val="22"/>
          <w:szCs w:val="22"/>
          <w:highlight w:val="none"/>
        </w:rPr>
        <w:t>三</w:t>
      </w:r>
      <w:r>
        <w:rPr>
          <w:rFonts w:ascii="宋体" w:hAnsi="宋体" w:cs="Arial"/>
          <w:color w:val="auto"/>
          <w:spacing w:val="6"/>
          <w:sz w:val="22"/>
          <w:szCs w:val="22"/>
          <w:highlight w:val="none"/>
        </w:rPr>
        <w:t>)</w:t>
      </w:r>
      <w:r>
        <w:rPr>
          <w:rFonts w:hint="eastAsia" w:ascii="宋体" w:hAnsi="宋体" w:cs="Arial"/>
          <w:color w:val="auto"/>
          <w:spacing w:val="6"/>
          <w:sz w:val="22"/>
          <w:szCs w:val="22"/>
          <w:highlight w:val="none"/>
        </w:rPr>
        <w:t>保安规章制度</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1</w:t>
      </w:r>
      <w:r>
        <w:rPr>
          <w:rFonts w:hint="eastAsia" w:ascii="宋体" w:hAnsi="宋体" w:cs="Arial"/>
          <w:color w:val="auto"/>
          <w:spacing w:val="6"/>
          <w:sz w:val="22"/>
          <w:szCs w:val="22"/>
          <w:highlight w:val="none"/>
        </w:rPr>
        <w:t>．按规定统一着装，严禁服装混穿或不按规定佩戴保安标志。</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2</w:t>
      </w:r>
      <w:r>
        <w:rPr>
          <w:rFonts w:hint="eastAsia" w:ascii="宋体" w:hAnsi="宋体" w:cs="Arial"/>
          <w:color w:val="auto"/>
          <w:spacing w:val="6"/>
          <w:sz w:val="22"/>
          <w:szCs w:val="22"/>
          <w:highlight w:val="none"/>
        </w:rPr>
        <w:t>．严禁迟到、早退、脱岗、缺岗；无故不参加训练、会议及集体组织的其它活动，发生</w:t>
      </w:r>
      <w:r>
        <w:rPr>
          <w:rFonts w:ascii="宋体" w:hAnsi="宋体" w:cs="Arial"/>
          <w:color w:val="auto"/>
          <w:spacing w:val="6"/>
          <w:sz w:val="22"/>
          <w:szCs w:val="22"/>
          <w:highlight w:val="none"/>
        </w:rPr>
        <w:t>3</w:t>
      </w:r>
      <w:r>
        <w:rPr>
          <w:rFonts w:hint="eastAsia" w:ascii="宋体" w:hAnsi="宋体" w:cs="Arial"/>
          <w:color w:val="auto"/>
          <w:spacing w:val="6"/>
          <w:sz w:val="22"/>
          <w:szCs w:val="22"/>
          <w:highlight w:val="none"/>
        </w:rPr>
        <w:t>次（含本数）以上调离本驻点。</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3</w:t>
      </w:r>
      <w:r>
        <w:rPr>
          <w:rFonts w:hint="eastAsia" w:ascii="宋体" w:hAnsi="宋体" w:cs="Arial"/>
          <w:color w:val="auto"/>
          <w:spacing w:val="6"/>
          <w:sz w:val="22"/>
          <w:szCs w:val="22"/>
          <w:highlight w:val="none"/>
        </w:rPr>
        <w:t>．值班人员务必做到热情、主动、文明、礼貌，及时主动帮扶困难群众和重症患者。</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4</w:t>
      </w:r>
      <w:r>
        <w:rPr>
          <w:rFonts w:hint="eastAsia" w:ascii="宋体" w:hAnsi="宋体" w:cs="Arial"/>
          <w:color w:val="auto"/>
          <w:spacing w:val="6"/>
          <w:sz w:val="22"/>
          <w:szCs w:val="22"/>
          <w:highlight w:val="none"/>
        </w:rPr>
        <w:t>．按规定认真做好来访登记、安全检查工作，严禁闲杂人员进入厂区。</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5</w:t>
      </w:r>
      <w:r>
        <w:rPr>
          <w:rFonts w:hint="eastAsia" w:ascii="宋体" w:hAnsi="宋体" w:cs="Arial"/>
          <w:color w:val="auto"/>
          <w:spacing w:val="6"/>
          <w:sz w:val="22"/>
          <w:szCs w:val="22"/>
          <w:highlight w:val="none"/>
        </w:rPr>
        <w:t>．上班时间严禁喝酒、玩手机和嬉笑打闹等有损集团公司形象的行为。</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6</w:t>
      </w:r>
      <w:r>
        <w:rPr>
          <w:rFonts w:hint="eastAsia" w:ascii="宋体" w:hAnsi="宋体" w:cs="Arial"/>
          <w:color w:val="auto"/>
          <w:spacing w:val="6"/>
          <w:sz w:val="22"/>
          <w:szCs w:val="22"/>
          <w:highlight w:val="none"/>
        </w:rPr>
        <w:t>．门岗务必做好车辆出入管理。除来访客人车辆外，非本单位车辆严禁入内，进入厂区的车辆须在指定位置按顺序停放整齐。</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7</w:t>
      </w:r>
      <w:r>
        <w:rPr>
          <w:rFonts w:hint="eastAsia" w:ascii="宋体" w:hAnsi="宋体" w:cs="Arial"/>
          <w:color w:val="auto"/>
          <w:spacing w:val="6"/>
          <w:sz w:val="22"/>
          <w:szCs w:val="22"/>
          <w:highlight w:val="none"/>
        </w:rPr>
        <w:t>．当班人员在交接班时务必将本班未尽事项交代给下一班。</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8</w:t>
      </w:r>
      <w:r>
        <w:rPr>
          <w:rFonts w:hint="eastAsia" w:ascii="宋体" w:hAnsi="宋体" w:cs="Arial"/>
          <w:color w:val="auto"/>
          <w:spacing w:val="6"/>
          <w:sz w:val="22"/>
          <w:szCs w:val="22"/>
          <w:highlight w:val="none"/>
        </w:rPr>
        <w:t>．健全每天值班、巡逻记录。</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9</w:t>
      </w:r>
      <w:r>
        <w:rPr>
          <w:rFonts w:hint="eastAsia" w:ascii="宋体" w:hAnsi="宋体" w:cs="Arial"/>
          <w:color w:val="auto"/>
          <w:spacing w:val="6"/>
          <w:sz w:val="22"/>
          <w:szCs w:val="22"/>
          <w:highlight w:val="none"/>
        </w:rPr>
        <w:t>．严格按照值班表值班（临时调动除外），严禁私自变更值班时间。</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10</w:t>
      </w:r>
      <w:r>
        <w:rPr>
          <w:rFonts w:hint="eastAsia" w:ascii="宋体" w:hAnsi="宋体" w:cs="Arial"/>
          <w:color w:val="auto"/>
          <w:spacing w:val="6"/>
          <w:sz w:val="22"/>
          <w:szCs w:val="22"/>
          <w:highlight w:val="none"/>
        </w:rPr>
        <w:t>．服从集团公司工作、劳动安排，禁止找不正当理由拒绝参与。</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11</w:t>
      </w:r>
      <w:r>
        <w:rPr>
          <w:rFonts w:hint="eastAsia" w:ascii="宋体" w:hAnsi="宋体" w:cs="Arial"/>
          <w:color w:val="auto"/>
          <w:spacing w:val="6"/>
          <w:sz w:val="22"/>
          <w:szCs w:val="22"/>
          <w:highlight w:val="none"/>
        </w:rPr>
        <w:t>．晚班严禁睡觉，若有违反本条规定每发现</w:t>
      </w:r>
      <w:r>
        <w:rPr>
          <w:rFonts w:ascii="宋体" w:hAnsi="宋体" w:cs="Arial"/>
          <w:color w:val="auto"/>
          <w:spacing w:val="6"/>
          <w:sz w:val="22"/>
          <w:szCs w:val="22"/>
          <w:highlight w:val="none"/>
        </w:rPr>
        <w:t xml:space="preserve"> 3 </w:t>
      </w:r>
      <w:r>
        <w:rPr>
          <w:rFonts w:hint="eastAsia" w:ascii="宋体" w:hAnsi="宋体" w:cs="Arial"/>
          <w:color w:val="auto"/>
          <w:spacing w:val="6"/>
          <w:sz w:val="22"/>
          <w:szCs w:val="22"/>
          <w:highlight w:val="none"/>
        </w:rPr>
        <w:t>次调离本厂区。</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12</w:t>
      </w:r>
      <w:r>
        <w:rPr>
          <w:rFonts w:hint="eastAsia" w:ascii="宋体" w:hAnsi="宋体" w:cs="Arial"/>
          <w:color w:val="auto"/>
          <w:spacing w:val="6"/>
          <w:sz w:val="22"/>
          <w:szCs w:val="22"/>
          <w:highlight w:val="none"/>
        </w:rPr>
        <w:t>．全天候巡逻</w:t>
      </w:r>
      <w:r>
        <w:rPr>
          <w:rFonts w:ascii="宋体" w:hAnsi="宋体" w:cs="Arial"/>
          <w:color w:val="auto"/>
          <w:spacing w:val="6"/>
          <w:sz w:val="22"/>
          <w:szCs w:val="22"/>
          <w:highlight w:val="none"/>
        </w:rPr>
        <w:t xml:space="preserve"> 2 </w:t>
      </w:r>
      <w:r>
        <w:rPr>
          <w:rFonts w:hint="eastAsia" w:ascii="宋体" w:hAnsi="宋体" w:cs="Arial"/>
          <w:color w:val="auto"/>
          <w:spacing w:val="6"/>
          <w:sz w:val="22"/>
          <w:szCs w:val="22"/>
          <w:highlight w:val="none"/>
        </w:rPr>
        <w:t>小时</w:t>
      </w:r>
      <w:r>
        <w:rPr>
          <w:rFonts w:ascii="宋体" w:hAnsi="宋体" w:cs="Arial"/>
          <w:color w:val="auto"/>
          <w:spacing w:val="6"/>
          <w:sz w:val="22"/>
          <w:szCs w:val="22"/>
          <w:highlight w:val="none"/>
        </w:rPr>
        <w:t xml:space="preserve"> 1 </w:t>
      </w:r>
      <w:r>
        <w:rPr>
          <w:rFonts w:hint="eastAsia" w:ascii="宋体" w:hAnsi="宋体" w:cs="Arial"/>
          <w:color w:val="auto"/>
          <w:spacing w:val="6"/>
          <w:sz w:val="22"/>
          <w:szCs w:val="22"/>
          <w:highlight w:val="none"/>
        </w:rPr>
        <w:t>次，巡逻务必做到认真、负责、仔细，发现安全隐患或可疑人员应及时排除，并作好记录，必要时立即上报厂方。</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13</w:t>
      </w:r>
      <w:r>
        <w:rPr>
          <w:rFonts w:hint="eastAsia" w:ascii="宋体" w:hAnsi="宋体" w:cs="Arial"/>
          <w:color w:val="auto"/>
          <w:spacing w:val="6"/>
          <w:sz w:val="22"/>
          <w:szCs w:val="22"/>
          <w:highlight w:val="none"/>
        </w:rPr>
        <w:t>．严禁私自动用厂区设备，保护患者隐私、违者当即予以辞退，对已经造成后果的追究其</w:t>
      </w:r>
      <w:r>
        <w:rPr>
          <w:rFonts w:ascii="宋体" w:hAnsi="宋体" w:cs="Arial"/>
          <w:color w:val="auto"/>
          <w:spacing w:val="6"/>
          <w:sz w:val="22"/>
          <w:szCs w:val="22"/>
          <w:highlight w:val="none"/>
        </w:rPr>
        <w:t xml:space="preserve"> </w:t>
      </w:r>
      <w:r>
        <w:rPr>
          <w:rFonts w:hint="eastAsia" w:ascii="宋体" w:hAnsi="宋体" w:cs="Arial"/>
          <w:color w:val="auto"/>
          <w:spacing w:val="6"/>
          <w:sz w:val="22"/>
          <w:szCs w:val="22"/>
          <w:highlight w:val="none"/>
        </w:rPr>
        <w:t>法律责任。</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14</w:t>
      </w:r>
      <w:r>
        <w:rPr>
          <w:rFonts w:hint="eastAsia" w:ascii="宋体" w:hAnsi="宋体" w:cs="Arial"/>
          <w:color w:val="auto"/>
          <w:spacing w:val="6"/>
          <w:sz w:val="22"/>
          <w:szCs w:val="22"/>
          <w:highlight w:val="none"/>
        </w:rPr>
        <w:t>．保管好配发的工作用品，合理使用相关设备，经常检查使之经常处于良好状态，严禁私自挪用公物，损坏公物照价赔偿。</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15</w:t>
      </w:r>
      <w:r>
        <w:rPr>
          <w:rFonts w:hint="eastAsia" w:ascii="宋体" w:hAnsi="宋体" w:cs="Arial"/>
          <w:color w:val="auto"/>
          <w:spacing w:val="6"/>
          <w:sz w:val="22"/>
          <w:szCs w:val="22"/>
          <w:highlight w:val="none"/>
        </w:rPr>
        <w:t>．接班人员做好上岗准备，按规定着装，携带执勤用品，准时接班。</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16</w:t>
      </w:r>
      <w:r>
        <w:rPr>
          <w:rFonts w:hint="eastAsia" w:ascii="宋体" w:hAnsi="宋体" w:cs="Arial"/>
          <w:color w:val="auto"/>
          <w:spacing w:val="6"/>
          <w:sz w:val="22"/>
          <w:szCs w:val="22"/>
          <w:highlight w:val="none"/>
        </w:rPr>
        <w:t>．接班人员到达岗位后，交接时双方先行敬礼，然后边注意观察，边做交接班事宜。交班人员应告知本班发生的情况和处理结果，并交待需要继续办理的事项。移交勤务登记簿，双方签字备查。接班者未到或未办理交接班手续，当班者不能离开。</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17</w:t>
      </w:r>
      <w:r>
        <w:rPr>
          <w:rFonts w:hint="eastAsia" w:ascii="宋体" w:hAnsi="宋体" w:cs="Arial"/>
          <w:color w:val="auto"/>
          <w:spacing w:val="6"/>
          <w:sz w:val="22"/>
          <w:szCs w:val="22"/>
          <w:highlight w:val="none"/>
        </w:rPr>
        <w:t>．保安员遇到紧急情况和重大问题时要及时、具体、准确地向上级领导和公安机关等有关部门请示、报告。对上级领导及公安机关等部门有关处置紧急情况的工作指示，要立即、坚决执行，执行结果要及时反馈，并做详细记录。</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18</w:t>
      </w:r>
      <w:r>
        <w:rPr>
          <w:rFonts w:hint="eastAsia" w:ascii="宋体" w:hAnsi="宋体" w:cs="Arial"/>
          <w:color w:val="auto"/>
          <w:spacing w:val="6"/>
          <w:sz w:val="22"/>
          <w:szCs w:val="22"/>
          <w:highlight w:val="none"/>
        </w:rPr>
        <w:t>．勤务登记由当班人员负责记录。主要记载上级指示、通知、交办的事项及值班期间发生和处理的问题，记录必须清晰、准确，不得随意涂改，并妥善保管。</w:t>
      </w:r>
    </w:p>
    <w:p>
      <w:pPr>
        <w:tabs>
          <w:tab w:val="left" w:pos="680"/>
          <w:tab w:val="left" w:pos="840"/>
        </w:tabs>
        <w:spacing w:line="360" w:lineRule="auto"/>
        <w:rPr>
          <w:rFonts w:ascii="宋体" w:hAnsi="宋体" w:cs="Arial"/>
          <w:color w:val="auto"/>
          <w:spacing w:val="6"/>
          <w:sz w:val="22"/>
          <w:szCs w:val="22"/>
          <w:highlight w:val="none"/>
        </w:rPr>
      </w:pPr>
      <w:r>
        <w:rPr>
          <w:rFonts w:ascii="宋体" w:hAnsi="宋体" w:cs="Arial"/>
          <w:color w:val="auto"/>
          <w:spacing w:val="6"/>
          <w:sz w:val="22"/>
          <w:szCs w:val="22"/>
          <w:highlight w:val="none"/>
        </w:rPr>
        <w:t>(</w:t>
      </w:r>
      <w:r>
        <w:rPr>
          <w:rFonts w:hint="eastAsia" w:ascii="宋体" w:hAnsi="宋体" w:cs="Arial"/>
          <w:color w:val="auto"/>
          <w:spacing w:val="6"/>
          <w:sz w:val="22"/>
          <w:szCs w:val="22"/>
          <w:highlight w:val="none"/>
        </w:rPr>
        <w:t>四</w:t>
      </w:r>
      <w:r>
        <w:rPr>
          <w:rFonts w:ascii="宋体" w:hAnsi="宋体" w:cs="Arial"/>
          <w:color w:val="auto"/>
          <w:spacing w:val="6"/>
          <w:sz w:val="22"/>
          <w:szCs w:val="22"/>
          <w:highlight w:val="none"/>
        </w:rPr>
        <w:t>)</w:t>
      </w:r>
      <w:r>
        <w:rPr>
          <w:rFonts w:hint="eastAsia" w:ascii="宋体" w:hAnsi="宋体" w:cs="Arial"/>
          <w:color w:val="auto"/>
          <w:spacing w:val="6"/>
          <w:sz w:val="22"/>
          <w:szCs w:val="22"/>
          <w:highlight w:val="none"/>
        </w:rPr>
        <w:t>消防监控员岗位职责及岗位要求</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1</w:t>
      </w:r>
      <w:r>
        <w:rPr>
          <w:rFonts w:hint="eastAsia" w:ascii="宋体" w:hAnsi="宋体" w:cs="Arial"/>
          <w:color w:val="auto"/>
          <w:spacing w:val="6"/>
          <w:sz w:val="22"/>
          <w:szCs w:val="22"/>
          <w:highlight w:val="none"/>
        </w:rPr>
        <w:t>．当班人员向当班主管负责，执行其工作指令。</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2</w:t>
      </w:r>
      <w:r>
        <w:rPr>
          <w:rFonts w:hint="eastAsia" w:ascii="宋体" w:hAnsi="宋体" w:cs="Arial"/>
          <w:color w:val="auto"/>
          <w:spacing w:val="6"/>
          <w:sz w:val="22"/>
          <w:szCs w:val="22"/>
          <w:highlight w:val="none"/>
        </w:rPr>
        <w:t>．接班前检查中心的各项设备，包括上一班的工作记录。</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3</w:t>
      </w:r>
      <w:r>
        <w:rPr>
          <w:rFonts w:hint="eastAsia" w:ascii="宋体" w:hAnsi="宋体" w:cs="Arial"/>
          <w:color w:val="auto"/>
          <w:spacing w:val="6"/>
          <w:sz w:val="22"/>
          <w:szCs w:val="22"/>
          <w:highlight w:val="none"/>
        </w:rPr>
        <w:t>．密切注意监控屏幕，如有异常立即通知当班领班，赶赴现场处理，并继续保持监控。</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4</w:t>
      </w:r>
      <w:r>
        <w:rPr>
          <w:rFonts w:hint="eastAsia" w:ascii="宋体" w:hAnsi="宋体" w:cs="Arial"/>
          <w:color w:val="auto"/>
          <w:spacing w:val="6"/>
          <w:sz w:val="22"/>
          <w:szCs w:val="22"/>
          <w:highlight w:val="none"/>
        </w:rPr>
        <w:t>．熟悉单位地形环境、消防设备的分布、灭火器的摆放位置，报警系统的位置，闭路电视监控头的位置。配合各岗位工作，认真做好值班记录。</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5</w:t>
      </w:r>
      <w:r>
        <w:rPr>
          <w:rFonts w:hint="eastAsia" w:ascii="宋体" w:hAnsi="宋体" w:cs="Arial"/>
          <w:color w:val="auto"/>
          <w:spacing w:val="6"/>
          <w:sz w:val="22"/>
          <w:szCs w:val="22"/>
          <w:highlight w:val="none"/>
        </w:rPr>
        <w:t>．认真学习各种灭火器材，熟练掌握控制中心、监控系统的操作程序，</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6</w:t>
      </w:r>
      <w:r>
        <w:rPr>
          <w:rFonts w:hint="eastAsia" w:ascii="宋体" w:hAnsi="宋体" w:cs="Arial"/>
          <w:color w:val="auto"/>
          <w:spacing w:val="6"/>
          <w:sz w:val="22"/>
          <w:szCs w:val="22"/>
          <w:highlight w:val="none"/>
        </w:rPr>
        <w:t>．接到报警后迅速呼叫领班前往报警地点查明原因，同时对现场作定位录像并做好记录。</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7</w:t>
      </w:r>
      <w:r>
        <w:rPr>
          <w:rFonts w:hint="eastAsia" w:ascii="宋体" w:hAnsi="宋体" w:cs="Arial"/>
          <w:color w:val="auto"/>
          <w:spacing w:val="6"/>
          <w:sz w:val="22"/>
          <w:szCs w:val="22"/>
          <w:highlight w:val="none"/>
        </w:rPr>
        <w:t>．爱护岗位上的各种设备器材，保证设施完好。</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8</w:t>
      </w:r>
      <w:r>
        <w:rPr>
          <w:rFonts w:hint="eastAsia" w:ascii="宋体" w:hAnsi="宋体" w:cs="Arial"/>
          <w:color w:val="auto"/>
          <w:spacing w:val="6"/>
          <w:sz w:val="22"/>
          <w:szCs w:val="22"/>
          <w:highlight w:val="none"/>
        </w:rPr>
        <w:t>．沉着、冷静、迅速、果断地处理当值时发生的问题，遇到难以处理的问题及时上报。工作认真负责、严格执行消防法，遵守消防中心的各项规章制度。</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9</w:t>
      </w:r>
      <w:r>
        <w:rPr>
          <w:rFonts w:hint="eastAsia" w:ascii="宋体" w:hAnsi="宋体" w:cs="Arial"/>
          <w:color w:val="auto"/>
          <w:spacing w:val="6"/>
          <w:sz w:val="22"/>
          <w:szCs w:val="22"/>
          <w:highlight w:val="none"/>
        </w:rPr>
        <w:t>．专职人员每日要对单位的消防设施进行检查，发现有损坏应及时上报处理。并组织相关保安人员及工程部员工进行每月的消防测试及检修。</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10</w:t>
      </w:r>
      <w:r>
        <w:rPr>
          <w:rFonts w:hint="eastAsia" w:ascii="宋体" w:hAnsi="宋体" w:cs="Arial"/>
          <w:color w:val="auto"/>
          <w:spacing w:val="6"/>
          <w:sz w:val="22"/>
          <w:szCs w:val="22"/>
          <w:highlight w:val="none"/>
        </w:rPr>
        <w:t>．做好对相关人员的定期消防培训，组织部门每周的消防培训，确保各项消防管理制度的落实，消除一切消防隐患，</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11</w:t>
      </w:r>
      <w:r>
        <w:rPr>
          <w:rFonts w:hint="eastAsia" w:ascii="宋体" w:hAnsi="宋体" w:cs="Arial"/>
          <w:color w:val="auto"/>
          <w:spacing w:val="6"/>
          <w:sz w:val="22"/>
          <w:szCs w:val="22"/>
          <w:highlight w:val="none"/>
        </w:rPr>
        <w:t>．严格遵守保密制度，未经批准，不得向无关人员泄漏、传播保安电视监控中获知的任何信息。</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12</w:t>
      </w:r>
      <w:r>
        <w:rPr>
          <w:rFonts w:hint="eastAsia" w:ascii="宋体" w:hAnsi="宋体" w:cs="Arial"/>
          <w:color w:val="auto"/>
          <w:spacing w:val="6"/>
          <w:sz w:val="22"/>
          <w:szCs w:val="22"/>
          <w:highlight w:val="none"/>
        </w:rPr>
        <w:t>．认真做好值勤记录，记录要准确详细。</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13</w:t>
      </w:r>
      <w:r>
        <w:rPr>
          <w:rFonts w:hint="eastAsia" w:ascii="宋体" w:hAnsi="宋体" w:cs="Arial"/>
          <w:color w:val="auto"/>
          <w:spacing w:val="6"/>
          <w:sz w:val="22"/>
          <w:szCs w:val="22"/>
          <w:highlight w:val="none"/>
        </w:rPr>
        <w:t>．受过公安消防专业培训，具有上岗证。</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14</w:t>
      </w:r>
      <w:r>
        <w:rPr>
          <w:rFonts w:hint="eastAsia" w:ascii="宋体" w:hAnsi="宋体" w:cs="Arial"/>
          <w:color w:val="auto"/>
          <w:spacing w:val="6"/>
          <w:sz w:val="22"/>
          <w:szCs w:val="22"/>
          <w:highlight w:val="none"/>
        </w:rPr>
        <w:t>．具备消防设备控制使用，计算机操作、电视监控、事故分析处理能力和突发事件处理能力。</w:t>
      </w:r>
    </w:p>
    <w:p>
      <w:pPr>
        <w:tabs>
          <w:tab w:val="left" w:pos="680"/>
          <w:tab w:val="left" w:pos="840"/>
        </w:tabs>
        <w:spacing w:line="360" w:lineRule="auto"/>
        <w:rPr>
          <w:rFonts w:ascii="宋体" w:hAnsi="宋体" w:cs="Arial"/>
          <w:color w:val="auto"/>
          <w:spacing w:val="6"/>
          <w:sz w:val="22"/>
          <w:szCs w:val="22"/>
          <w:highlight w:val="none"/>
        </w:rPr>
      </w:pPr>
      <w:r>
        <w:rPr>
          <w:rFonts w:ascii="宋体" w:hAnsi="宋体" w:cs="Arial"/>
          <w:color w:val="auto"/>
          <w:spacing w:val="6"/>
          <w:sz w:val="22"/>
          <w:szCs w:val="22"/>
          <w:highlight w:val="none"/>
        </w:rPr>
        <w:t>(</w:t>
      </w:r>
      <w:r>
        <w:rPr>
          <w:rFonts w:hint="eastAsia" w:ascii="宋体" w:hAnsi="宋体" w:cs="Arial"/>
          <w:color w:val="auto"/>
          <w:spacing w:val="6"/>
          <w:sz w:val="22"/>
          <w:szCs w:val="22"/>
          <w:highlight w:val="none"/>
        </w:rPr>
        <w:t>五</w:t>
      </w:r>
      <w:r>
        <w:rPr>
          <w:rFonts w:ascii="宋体" w:hAnsi="宋体" w:cs="Arial"/>
          <w:color w:val="auto"/>
          <w:spacing w:val="6"/>
          <w:sz w:val="22"/>
          <w:szCs w:val="22"/>
          <w:highlight w:val="none"/>
        </w:rPr>
        <w:t>)</w:t>
      </w:r>
      <w:r>
        <w:rPr>
          <w:rFonts w:hint="eastAsia" w:ascii="宋体" w:hAnsi="宋体" w:cs="Arial"/>
          <w:color w:val="auto"/>
          <w:spacing w:val="6"/>
          <w:sz w:val="22"/>
          <w:szCs w:val="22"/>
          <w:highlight w:val="none"/>
        </w:rPr>
        <w:t>突发事件处理</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hint="eastAsia" w:ascii="宋体" w:hAnsi="宋体" w:cs="Arial"/>
          <w:color w:val="auto"/>
          <w:spacing w:val="6"/>
          <w:sz w:val="22"/>
          <w:szCs w:val="22"/>
          <w:highlight w:val="none"/>
        </w:rPr>
        <w:t>按照要求制订各类突发事件应急预案，并将预案内容在办公室、监控室等处张榜悬挂。每月定期组织不少于</w:t>
      </w:r>
      <w:r>
        <w:rPr>
          <w:rFonts w:ascii="宋体" w:hAnsi="宋体" w:cs="Arial"/>
          <w:color w:val="auto"/>
          <w:spacing w:val="6"/>
          <w:sz w:val="22"/>
          <w:szCs w:val="22"/>
          <w:highlight w:val="none"/>
        </w:rPr>
        <w:t xml:space="preserve"> 1 </w:t>
      </w:r>
      <w:r>
        <w:rPr>
          <w:rFonts w:hint="eastAsia" w:ascii="宋体" w:hAnsi="宋体" w:cs="Arial"/>
          <w:color w:val="auto"/>
          <w:spacing w:val="6"/>
          <w:sz w:val="22"/>
          <w:szCs w:val="22"/>
          <w:highlight w:val="none"/>
        </w:rPr>
        <w:t>次的突发事件应急演习。各岗位人员必须按规定实行岗位警戒，根据不同突发事件的现场情况进行应变处理，在有关部门到达现场前，确保人身安全，减少财产损失，并全力协助处理相关事宜。对待上访人员做到耐心说服，及时报告有关部门予以妥善处置。</w:t>
      </w:r>
    </w:p>
    <w:p>
      <w:pPr>
        <w:tabs>
          <w:tab w:val="left" w:pos="680"/>
          <w:tab w:val="left" w:pos="840"/>
        </w:tabs>
        <w:spacing w:line="360" w:lineRule="auto"/>
        <w:rPr>
          <w:rFonts w:ascii="宋体" w:hAnsi="宋体" w:cs="Arial"/>
          <w:color w:val="auto"/>
          <w:spacing w:val="6"/>
          <w:sz w:val="22"/>
          <w:szCs w:val="22"/>
          <w:highlight w:val="none"/>
        </w:rPr>
      </w:pPr>
      <w:r>
        <w:rPr>
          <w:rFonts w:ascii="宋体" w:hAnsi="宋体" w:cs="Arial"/>
          <w:color w:val="auto"/>
          <w:spacing w:val="6"/>
          <w:sz w:val="22"/>
          <w:szCs w:val="22"/>
          <w:highlight w:val="none"/>
        </w:rPr>
        <w:t>(</w:t>
      </w:r>
      <w:r>
        <w:rPr>
          <w:rFonts w:hint="eastAsia" w:ascii="宋体" w:hAnsi="宋体" w:cs="Arial"/>
          <w:color w:val="auto"/>
          <w:spacing w:val="6"/>
          <w:sz w:val="22"/>
          <w:szCs w:val="22"/>
          <w:highlight w:val="none"/>
        </w:rPr>
        <w:t>六</w:t>
      </w:r>
      <w:r>
        <w:rPr>
          <w:rFonts w:ascii="宋体" w:hAnsi="宋体" w:cs="Arial"/>
          <w:color w:val="auto"/>
          <w:spacing w:val="6"/>
          <w:sz w:val="22"/>
          <w:szCs w:val="22"/>
          <w:highlight w:val="none"/>
        </w:rPr>
        <w:t>)</w:t>
      </w:r>
      <w:r>
        <w:rPr>
          <w:rFonts w:hint="eastAsia" w:ascii="宋体" w:hAnsi="宋体" w:cs="Arial"/>
          <w:color w:val="auto"/>
          <w:spacing w:val="6"/>
          <w:sz w:val="22"/>
          <w:szCs w:val="22"/>
          <w:highlight w:val="none"/>
        </w:rPr>
        <w:t>其他</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olor w:val="auto"/>
          <w:highlight w:val="none"/>
        </w:rPr>
      </w:pPr>
      <w:r>
        <w:rPr>
          <w:rFonts w:hint="eastAsia" w:ascii="宋体" w:hAnsi="宋体" w:cs="Arial"/>
          <w:color w:val="auto"/>
          <w:spacing w:val="6"/>
          <w:sz w:val="22"/>
          <w:szCs w:val="22"/>
          <w:highlight w:val="none"/>
        </w:rPr>
        <w:t>根据招标人需求，提供力所能及的帮助。</w:t>
      </w:r>
    </w:p>
    <w:p>
      <w:pPr>
        <w:tabs>
          <w:tab w:val="left" w:pos="680"/>
          <w:tab w:val="left" w:pos="840"/>
        </w:tabs>
        <w:spacing w:line="360" w:lineRule="auto"/>
        <w:rPr>
          <w:rFonts w:ascii="宋体" w:hAnsi="宋体" w:cs="Arial"/>
          <w:color w:val="auto"/>
          <w:spacing w:val="6"/>
          <w:sz w:val="22"/>
          <w:szCs w:val="22"/>
          <w:highlight w:val="none"/>
        </w:rPr>
      </w:pPr>
      <w:r>
        <w:rPr>
          <w:rFonts w:ascii="宋体" w:hAnsi="宋体" w:cs="Arial"/>
          <w:color w:val="auto"/>
          <w:spacing w:val="6"/>
          <w:sz w:val="22"/>
          <w:szCs w:val="22"/>
          <w:highlight w:val="none"/>
        </w:rPr>
        <w:t>4</w:t>
      </w:r>
      <w:r>
        <w:rPr>
          <w:rFonts w:hint="eastAsia" w:ascii="宋体" w:hAnsi="宋体" w:cs="Arial"/>
          <w:color w:val="auto"/>
          <w:spacing w:val="6"/>
          <w:sz w:val="22"/>
          <w:szCs w:val="22"/>
          <w:highlight w:val="none"/>
        </w:rPr>
        <w:t>、其它说明</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1</w:t>
      </w:r>
      <w:r>
        <w:rPr>
          <w:rFonts w:hint="eastAsia" w:ascii="宋体" w:hAnsi="宋体" w:cs="Arial"/>
          <w:color w:val="auto"/>
          <w:spacing w:val="6"/>
          <w:sz w:val="22"/>
          <w:szCs w:val="22"/>
          <w:highlight w:val="none"/>
        </w:rPr>
        <w:t>．项目负责人要有相关管理经验（简历附在投标书内），负责各项工作的检查、落实及综合管理工作，并专门负责与招标人的工作协调。</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2</w:t>
      </w:r>
      <w:r>
        <w:rPr>
          <w:rFonts w:hint="eastAsia" w:ascii="宋体" w:hAnsi="宋体" w:cs="Arial"/>
          <w:color w:val="auto"/>
          <w:spacing w:val="6"/>
          <w:sz w:val="22"/>
          <w:szCs w:val="22"/>
          <w:highlight w:val="none"/>
        </w:rPr>
        <w:t>．应制定较为完善的各部门的管理办法。</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3</w:t>
      </w:r>
      <w:r>
        <w:rPr>
          <w:rFonts w:hint="eastAsia" w:ascii="宋体" w:hAnsi="宋体" w:cs="Arial"/>
          <w:color w:val="auto"/>
          <w:spacing w:val="6"/>
          <w:sz w:val="22"/>
          <w:szCs w:val="22"/>
          <w:highlight w:val="none"/>
        </w:rPr>
        <w:t>．招标人提供值班室、宿舍，宿舍仅限安保人员入住，不得留宿他人。</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4</w:t>
      </w:r>
      <w:r>
        <w:rPr>
          <w:rFonts w:hint="eastAsia" w:ascii="宋体" w:hAnsi="宋体" w:cs="Arial"/>
          <w:color w:val="auto"/>
          <w:spacing w:val="6"/>
          <w:sz w:val="22"/>
          <w:szCs w:val="22"/>
          <w:highlight w:val="none"/>
        </w:rPr>
        <w:t>．允许中标方员工在厂区食堂就餐，按实购买，费用自理。</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5</w:t>
      </w:r>
      <w:r>
        <w:rPr>
          <w:rFonts w:hint="eastAsia" w:ascii="宋体" w:hAnsi="宋体" w:cs="Arial"/>
          <w:color w:val="auto"/>
          <w:spacing w:val="6"/>
          <w:sz w:val="22"/>
          <w:szCs w:val="22"/>
          <w:highlight w:val="none"/>
        </w:rPr>
        <w:t>．投标人应承诺根据具体情况及业主特殊要求，对服务期限进行调整，配合集团公司妥善做好准备交接工作。</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6</w:t>
      </w:r>
      <w:r>
        <w:rPr>
          <w:rFonts w:hint="eastAsia" w:ascii="宋体" w:hAnsi="宋体" w:cs="Arial"/>
          <w:color w:val="auto"/>
          <w:spacing w:val="6"/>
          <w:sz w:val="22"/>
          <w:szCs w:val="22"/>
          <w:highlight w:val="none"/>
        </w:rPr>
        <w:t>．以上要求为招标人基本要求，各投标单位可根据本单位实际进行调整，但不得低于上述标准。</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7</w:t>
      </w:r>
      <w:r>
        <w:rPr>
          <w:rFonts w:hint="eastAsia" w:ascii="宋体" w:hAnsi="宋体" w:cs="Arial"/>
          <w:color w:val="auto"/>
          <w:spacing w:val="6"/>
          <w:sz w:val="22"/>
          <w:szCs w:val="22"/>
          <w:highlight w:val="none"/>
        </w:rPr>
        <w:t>．中标人需及时入驻厂区管理现场，逾期的须对原折留守期间直至交接的员工工资予以结算；</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8</w:t>
      </w:r>
      <w:r>
        <w:rPr>
          <w:rFonts w:hint="eastAsia" w:ascii="宋体" w:hAnsi="宋体" w:cs="Arial"/>
          <w:color w:val="auto"/>
          <w:spacing w:val="6"/>
          <w:sz w:val="22"/>
          <w:szCs w:val="22"/>
          <w:highlight w:val="none"/>
        </w:rPr>
        <w:t>．接受招标人关于原有安保人员留任安排的要求。</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9</w:t>
      </w:r>
      <w:r>
        <w:rPr>
          <w:rFonts w:hint="eastAsia" w:ascii="宋体" w:hAnsi="宋体" w:cs="Arial"/>
          <w:color w:val="auto"/>
          <w:spacing w:val="6"/>
          <w:sz w:val="22"/>
          <w:szCs w:val="22"/>
          <w:highlight w:val="none"/>
        </w:rPr>
        <w:t>．承包期限、付款方式等详见第二部分“合同条款”。</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10</w:t>
      </w:r>
      <w:r>
        <w:rPr>
          <w:rFonts w:hint="eastAsia" w:ascii="宋体" w:hAnsi="宋体" w:cs="Arial"/>
          <w:color w:val="auto"/>
          <w:spacing w:val="6"/>
          <w:sz w:val="22"/>
          <w:szCs w:val="22"/>
          <w:highlight w:val="none"/>
        </w:rPr>
        <w:t>．中标人应保证在承包期内其员工最低月工资不少于温州市最低工资标准、并且有员工（工资福利）激励方案、员工队伍稳定方案、员工三金交纳方案、女工特殊福利方案。</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11</w:t>
      </w:r>
      <w:r>
        <w:rPr>
          <w:rFonts w:hint="eastAsia" w:ascii="宋体" w:hAnsi="宋体" w:cs="Arial"/>
          <w:color w:val="auto"/>
          <w:spacing w:val="6"/>
          <w:sz w:val="22"/>
          <w:szCs w:val="22"/>
          <w:highlight w:val="none"/>
        </w:rPr>
        <w:t>．社会保险（除必须的养老保险外，还应包括第三者责任保险和员工人身意外保险）。</w:t>
      </w:r>
      <w:r>
        <w:rPr>
          <w:rFonts w:ascii="宋体" w:hAnsi="宋体" w:cs="Arial"/>
          <w:color w:val="auto"/>
          <w:spacing w:val="6"/>
          <w:sz w:val="22"/>
          <w:szCs w:val="22"/>
          <w:highlight w:val="none"/>
        </w:rPr>
        <w:t xml:space="preserve"> </w:t>
      </w:r>
    </w:p>
    <w:p>
      <w:pPr>
        <w:tabs>
          <w:tab w:val="left" w:pos="680"/>
          <w:tab w:val="left" w:pos="840"/>
        </w:tabs>
        <w:spacing w:line="360" w:lineRule="auto"/>
        <w:ind w:firstLine="464" w:firstLineChars="200"/>
        <w:rPr>
          <w:rFonts w:ascii="宋体" w:hAnsi="宋体" w:cs="Arial"/>
          <w:color w:val="auto"/>
          <w:spacing w:val="6"/>
          <w:sz w:val="22"/>
          <w:szCs w:val="22"/>
          <w:highlight w:val="none"/>
        </w:rPr>
      </w:pPr>
      <w:r>
        <w:rPr>
          <w:rFonts w:ascii="宋体" w:hAnsi="宋体" w:cs="Arial"/>
          <w:color w:val="auto"/>
          <w:spacing w:val="6"/>
          <w:sz w:val="22"/>
          <w:szCs w:val="22"/>
          <w:highlight w:val="none"/>
        </w:rPr>
        <w:t>1</w:t>
      </w:r>
      <w:r>
        <w:rPr>
          <w:rFonts w:hint="eastAsia" w:ascii="宋体" w:hAnsi="宋体" w:cs="Arial"/>
          <w:color w:val="auto"/>
          <w:spacing w:val="6"/>
          <w:sz w:val="22"/>
          <w:szCs w:val="22"/>
          <w:highlight w:val="none"/>
        </w:rPr>
        <w:t>）第三者责任保险：承包方应为参与承包区域经营的工作人员（包括人员以及第三方）投保，以保证在承包期间人员和财产以外遭受损失时得到补偿。</w:t>
      </w:r>
      <w:r>
        <w:rPr>
          <w:rFonts w:ascii="宋体" w:hAnsi="宋体" w:cs="Arial"/>
          <w:color w:val="auto"/>
          <w:spacing w:val="6"/>
          <w:sz w:val="22"/>
          <w:szCs w:val="22"/>
          <w:highlight w:val="none"/>
        </w:rPr>
        <w:t xml:space="preserve"> 2</w:t>
      </w:r>
      <w:r>
        <w:rPr>
          <w:rFonts w:hint="eastAsia" w:ascii="宋体" w:hAnsi="宋体" w:cs="Arial"/>
          <w:color w:val="auto"/>
          <w:spacing w:val="6"/>
          <w:sz w:val="22"/>
          <w:szCs w:val="22"/>
          <w:highlight w:val="none"/>
        </w:rPr>
        <w:t>）员工人身意外保险：在承包期内，承包方应为其员工投保人身意外险，以保证业主在承包方工作人员索偿时不受任何责任的约束。</w:t>
      </w:r>
      <w:r>
        <w:rPr>
          <w:rFonts w:ascii="宋体" w:hAnsi="宋体" w:cs="Arial"/>
          <w:color w:val="auto"/>
          <w:spacing w:val="6"/>
          <w:sz w:val="22"/>
          <w:szCs w:val="22"/>
          <w:highlight w:val="none"/>
        </w:rPr>
        <w:t xml:space="preserve"> </w:t>
      </w:r>
    </w:p>
    <w:p>
      <w:pPr>
        <w:rPr>
          <w:rFonts w:ascii="宋体" w:hAnsi="宋体" w:cs="Arial"/>
          <w:color w:val="auto"/>
          <w:spacing w:val="6"/>
          <w:sz w:val="22"/>
          <w:szCs w:val="22"/>
          <w:highlight w:val="none"/>
        </w:rPr>
        <w:sectPr>
          <w:headerReference r:id="rId4" w:type="default"/>
          <w:footerReference r:id="rId5" w:type="default"/>
          <w:pgSz w:w="11900" w:h="16838"/>
          <w:pgMar w:top="1440" w:right="1474" w:bottom="1440" w:left="1474" w:header="737" w:footer="737" w:gutter="0"/>
          <w:pgBorders>
            <w:top w:val="none" w:sz="0" w:space="0"/>
            <w:left w:val="none" w:sz="0" w:space="0"/>
            <w:bottom w:val="none" w:sz="0" w:space="0"/>
            <w:right w:val="none" w:sz="0" w:space="0"/>
          </w:pgBorders>
          <w:cols w:space="720" w:num="1"/>
          <w:docGrid w:linePitch="312" w:charSpace="0"/>
        </w:sectPr>
      </w:pPr>
      <w:r>
        <w:rPr>
          <w:rFonts w:ascii="宋体" w:hAnsi="宋体" w:cs="Arial"/>
          <w:color w:val="auto"/>
          <w:spacing w:val="6"/>
          <w:sz w:val="22"/>
          <w:szCs w:val="22"/>
          <w:highlight w:val="none"/>
        </w:rPr>
        <w:t>12</w:t>
      </w:r>
      <w:r>
        <w:rPr>
          <w:rFonts w:hint="eastAsia" w:ascii="宋体" w:hAnsi="宋体" w:cs="Arial"/>
          <w:color w:val="auto"/>
          <w:spacing w:val="6"/>
          <w:sz w:val="22"/>
          <w:szCs w:val="22"/>
          <w:highlight w:val="none"/>
        </w:rPr>
        <w:t>、中标人合理安排人员进行节假日加班，按相关规定标准补贴。</w:t>
      </w:r>
    </w:p>
    <w:p>
      <w:pPr>
        <w:spacing w:line="440" w:lineRule="exact"/>
        <w:rPr>
          <w:rFonts w:hint="eastAsia" w:ascii="宋体" w:hAnsi="宋体" w:eastAsia="宋体" w:cs="Arial"/>
          <w:color w:val="auto"/>
          <w:szCs w:val="21"/>
          <w:highlight w:val="none"/>
          <w:lang w:val="en-US" w:eastAsia="zh-CN"/>
        </w:rPr>
      </w:pPr>
      <w:r>
        <w:rPr>
          <w:rFonts w:hint="eastAsia" w:ascii="宋体" w:hAnsi="宋体"/>
          <w:color w:val="auto"/>
          <w:kern w:val="0"/>
          <w:szCs w:val="21"/>
          <w:highlight w:val="none"/>
        </w:rPr>
        <w:t>附表</w:t>
      </w:r>
      <w:r>
        <w:rPr>
          <w:rFonts w:hint="eastAsia" w:ascii="宋体" w:hAnsi="宋体"/>
          <w:color w:val="auto"/>
          <w:kern w:val="0"/>
          <w:szCs w:val="21"/>
          <w:highlight w:val="none"/>
          <w:lang w:val="en-US" w:eastAsia="zh-CN"/>
        </w:rPr>
        <w:t>1</w:t>
      </w:r>
    </w:p>
    <w:p>
      <w:pPr>
        <w:spacing w:line="440" w:lineRule="exact"/>
        <w:jc w:val="center"/>
        <w:rPr>
          <w:rFonts w:ascii="宋体" w:hAnsi="宋体"/>
          <w:color w:val="auto"/>
          <w:kern w:val="0"/>
          <w:sz w:val="32"/>
          <w:szCs w:val="32"/>
          <w:highlight w:val="none"/>
        </w:rPr>
      </w:pPr>
      <w:r>
        <w:rPr>
          <w:rFonts w:hint="eastAsia" w:ascii="宋体" w:hAnsi="宋体"/>
          <w:color w:val="auto"/>
          <w:kern w:val="0"/>
          <w:sz w:val="32"/>
          <w:szCs w:val="32"/>
          <w:highlight w:val="none"/>
        </w:rPr>
        <w:t>管理服务目标考核表</w:t>
      </w:r>
    </w:p>
    <w:tbl>
      <w:tblPr>
        <w:tblStyle w:val="27"/>
        <w:tblW w:w="10905" w:type="dxa"/>
        <w:jc w:val="center"/>
        <w:tblInd w:w="0" w:type="dxa"/>
        <w:tblLayout w:type="fixed"/>
        <w:tblCellMar>
          <w:top w:w="0" w:type="dxa"/>
          <w:left w:w="108" w:type="dxa"/>
          <w:bottom w:w="0" w:type="dxa"/>
          <w:right w:w="108" w:type="dxa"/>
        </w:tblCellMar>
      </w:tblPr>
      <w:tblGrid>
        <w:gridCol w:w="663"/>
        <w:gridCol w:w="740"/>
        <w:gridCol w:w="5872"/>
        <w:gridCol w:w="2487"/>
        <w:gridCol w:w="1143"/>
      </w:tblGrid>
      <w:tr>
        <w:tblPrEx>
          <w:tblLayout w:type="fixed"/>
          <w:tblCellMar>
            <w:top w:w="0" w:type="dxa"/>
            <w:left w:w="108" w:type="dxa"/>
            <w:bottom w:w="0" w:type="dxa"/>
            <w:right w:w="108" w:type="dxa"/>
          </w:tblCellMar>
        </w:tblPrEx>
        <w:trPr>
          <w:trHeight w:val="642"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7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内 容</w:t>
            </w:r>
          </w:p>
        </w:tc>
        <w:tc>
          <w:tcPr>
            <w:tcW w:w="5872"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目   标   要   求</w:t>
            </w:r>
          </w:p>
        </w:tc>
        <w:tc>
          <w:tcPr>
            <w:tcW w:w="248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考  核  标  准</w:t>
            </w:r>
          </w:p>
        </w:tc>
        <w:tc>
          <w:tcPr>
            <w:tcW w:w="11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基本分</w:t>
            </w:r>
          </w:p>
        </w:tc>
      </w:tr>
      <w:tr>
        <w:tblPrEx>
          <w:tblLayout w:type="fixed"/>
          <w:tblCellMar>
            <w:top w:w="0" w:type="dxa"/>
            <w:left w:w="108" w:type="dxa"/>
            <w:bottom w:w="0" w:type="dxa"/>
            <w:right w:w="108" w:type="dxa"/>
          </w:tblCellMar>
        </w:tblPrEx>
        <w:trPr>
          <w:trHeight w:val="373" w:hRule="atLeast"/>
          <w:jc w:val="center"/>
        </w:trPr>
        <w:tc>
          <w:tcPr>
            <w:tcW w:w="66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olor w:val="auto"/>
                <w:kern w:val="0"/>
                <w:sz w:val="24"/>
                <w:highlight w:val="none"/>
              </w:rPr>
            </w:pPr>
            <w:r>
              <w:rPr>
                <w:rFonts w:hint="eastAsia" w:ascii="宋体" w:hAnsi="宋体"/>
                <w:color w:val="auto"/>
                <w:kern w:val="0"/>
                <w:sz w:val="24"/>
                <w:highlight w:val="none"/>
              </w:rPr>
              <w:t>1</w:t>
            </w:r>
          </w:p>
        </w:tc>
        <w:tc>
          <w:tcPr>
            <w:tcW w:w="7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备及基本要求</w:t>
            </w:r>
          </w:p>
        </w:tc>
        <w:tc>
          <w:tcPr>
            <w:tcW w:w="587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kern w:val="0"/>
                <w:sz w:val="20"/>
                <w:szCs w:val="20"/>
                <w:highlight w:val="none"/>
              </w:rPr>
            </w:pPr>
            <w:r>
              <w:rPr>
                <w:rFonts w:ascii="宋体" w:hAnsi="宋体"/>
                <w:color w:val="auto"/>
                <w:kern w:val="0"/>
                <w:sz w:val="20"/>
                <w:szCs w:val="20"/>
                <w:highlight w:val="none"/>
              </w:rPr>
              <w:t>1</w:t>
            </w:r>
            <w:r>
              <w:rPr>
                <w:rFonts w:hint="eastAsia" w:ascii="宋体" w:hAnsi="宋体"/>
                <w:color w:val="auto"/>
                <w:kern w:val="0"/>
                <w:sz w:val="20"/>
                <w:szCs w:val="20"/>
                <w:highlight w:val="none"/>
              </w:rPr>
              <w:t>、人员编制满员</w:t>
            </w:r>
          </w:p>
        </w:tc>
        <w:tc>
          <w:tcPr>
            <w:tcW w:w="248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r>
      <w:tr>
        <w:tblPrEx>
          <w:tblLayout w:type="fixed"/>
          <w:tblCellMar>
            <w:top w:w="0" w:type="dxa"/>
            <w:left w:w="108" w:type="dxa"/>
            <w:bottom w:w="0" w:type="dxa"/>
            <w:right w:w="108" w:type="dxa"/>
          </w:tblCellMar>
        </w:tblPrEx>
        <w:trPr>
          <w:trHeight w:val="373" w:hRule="atLeast"/>
          <w:jc w:val="center"/>
        </w:trPr>
        <w:tc>
          <w:tcPr>
            <w:tcW w:w="6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58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2</w:t>
            </w:r>
            <w:r>
              <w:rPr>
                <w:rFonts w:hint="eastAsia" w:ascii="宋体" w:hAnsi="宋体"/>
                <w:color w:val="auto"/>
                <w:kern w:val="0"/>
                <w:sz w:val="20"/>
                <w:szCs w:val="20"/>
                <w:highlight w:val="none"/>
              </w:rPr>
              <w:t>、人员配置岗位合理</w:t>
            </w:r>
          </w:p>
        </w:tc>
        <w:tc>
          <w:tcPr>
            <w:tcW w:w="248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73" w:hRule="atLeast"/>
          <w:jc w:val="center"/>
        </w:trPr>
        <w:tc>
          <w:tcPr>
            <w:tcW w:w="6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58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olor w:val="auto"/>
                <w:kern w:val="0"/>
                <w:sz w:val="20"/>
                <w:szCs w:val="20"/>
                <w:highlight w:val="none"/>
              </w:rPr>
              <w:t>3、所有人员男性身高是否达到</w:t>
            </w:r>
            <w:r>
              <w:rPr>
                <w:rFonts w:ascii="宋体" w:hAnsi="宋体"/>
                <w:color w:val="auto"/>
                <w:kern w:val="0"/>
                <w:sz w:val="20"/>
                <w:szCs w:val="20"/>
                <w:highlight w:val="none"/>
              </w:rPr>
              <w:t>1.</w:t>
            </w:r>
            <w:r>
              <w:rPr>
                <w:rFonts w:hint="eastAsia" w:ascii="宋体" w:hAnsi="宋体"/>
                <w:color w:val="auto"/>
                <w:kern w:val="0"/>
                <w:sz w:val="20"/>
                <w:szCs w:val="20"/>
                <w:highlight w:val="none"/>
              </w:rPr>
              <w:t>65米以上；其中部队复员、行业立功人员（除外）</w:t>
            </w:r>
          </w:p>
        </w:tc>
        <w:tc>
          <w:tcPr>
            <w:tcW w:w="2487" w:type="dxa"/>
            <w:tcBorders>
              <w:top w:val="nil"/>
              <w:left w:val="nil"/>
              <w:bottom w:val="single" w:color="auto" w:sz="4" w:space="0"/>
              <w:right w:val="single" w:color="auto" w:sz="4" w:space="0"/>
            </w:tcBorders>
            <w:vAlign w:val="center"/>
          </w:tcPr>
          <w:p>
            <w:pPr>
              <w:widowControl/>
              <w:jc w:val="center"/>
              <w:rPr>
                <w:rFonts w:ascii="宋体" w:hAnsi="宋体" w:cs="宋体"/>
                <w:snapToGrid w:val="0"/>
                <w:color w:val="auto"/>
                <w:spacing w:val="-8"/>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r>
      <w:tr>
        <w:tblPrEx>
          <w:tblLayout w:type="fixed"/>
          <w:tblCellMar>
            <w:top w:w="0" w:type="dxa"/>
            <w:left w:w="108" w:type="dxa"/>
            <w:bottom w:w="0" w:type="dxa"/>
            <w:right w:w="108" w:type="dxa"/>
          </w:tblCellMar>
        </w:tblPrEx>
        <w:trPr>
          <w:trHeight w:val="373" w:hRule="atLeast"/>
          <w:jc w:val="center"/>
        </w:trPr>
        <w:tc>
          <w:tcPr>
            <w:tcW w:w="6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58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olor w:val="auto"/>
                <w:kern w:val="0"/>
                <w:sz w:val="20"/>
                <w:szCs w:val="20"/>
                <w:highlight w:val="none"/>
              </w:rPr>
              <w:t>4、所有人员应符合招标文件年龄要求（管理人员除外）</w:t>
            </w:r>
          </w:p>
        </w:tc>
        <w:tc>
          <w:tcPr>
            <w:tcW w:w="248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r>
      <w:tr>
        <w:tblPrEx>
          <w:tblLayout w:type="fixed"/>
          <w:tblCellMar>
            <w:top w:w="0" w:type="dxa"/>
            <w:left w:w="108" w:type="dxa"/>
            <w:bottom w:w="0" w:type="dxa"/>
            <w:right w:w="108" w:type="dxa"/>
          </w:tblCellMar>
        </w:tblPrEx>
        <w:trPr>
          <w:trHeight w:val="373" w:hRule="atLeast"/>
          <w:jc w:val="center"/>
        </w:trPr>
        <w:tc>
          <w:tcPr>
            <w:tcW w:w="6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58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olor w:val="auto"/>
                <w:kern w:val="0"/>
                <w:sz w:val="20"/>
                <w:szCs w:val="20"/>
                <w:highlight w:val="none"/>
              </w:rPr>
              <w:t>5、所有人员进出有备案</w:t>
            </w:r>
          </w:p>
        </w:tc>
        <w:tc>
          <w:tcPr>
            <w:tcW w:w="248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73" w:hRule="atLeast"/>
          <w:jc w:val="center"/>
        </w:trPr>
        <w:tc>
          <w:tcPr>
            <w:tcW w:w="6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58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olor w:val="auto"/>
                <w:kern w:val="0"/>
                <w:sz w:val="20"/>
                <w:szCs w:val="20"/>
                <w:highlight w:val="none"/>
              </w:rPr>
              <w:t>6、聘用的工作人员符合劳动部门有关用工规定，并在岗位时佩带证件上岗</w:t>
            </w:r>
          </w:p>
        </w:tc>
        <w:tc>
          <w:tcPr>
            <w:tcW w:w="248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r>
      <w:tr>
        <w:tblPrEx>
          <w:tblLayout w:type="fixed"/>
          <w:tblCellMar>
            <w:top w:w="0" w:type="dxa"/>
            <w:left w:w="108" w:type="dxa"/>
            <w:bottom w:w="0" w:type="dxa"/>
            <w:right w:w="108" w:type="dxa"/>
          </w:tblCellMar>
        </w:tblPrEx>
        <w:trPr>
          <w:trHeight w:val="373" w:hRule="atLeast"/>
          <w:jc w:val="center"/>
        </w:trPr>
        <w:tc>
          <w:tcPr>
            <w:tcW w:w="6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58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olor w:val="auto"/>
                <w:kern w:val="0"/>
                <w:sz w:val="20"/>
                <w:szCs w:val="20"/>
                <w:highlight w:val="none"/>
              </w:rPr>
              <w:t>7、人员明确分工负责</w:t>
            </w:r>
          </w:p>
        </w:tc>
        <w:tc>
          <w:tcPr>
            <w:tcW w:w="248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73" w:hRule="atLeast"/>
          <w:jc w:val="center"/>
        </w:trPr>
        <w:tc>
          <w:tcPr>
            <w:tcW w:w="663" w:type="dxa"/>
            <w:vMerge w:val="restart"/>
            <w:tcBorders>
              <w:top w:val="single" w:color="auto" w:sz="4" w:space="0"/>
              <w:left w:val="single" w:color="auto" w:sz="4" w:space="0"/>
              <w:right w:val="single" w:color="auto" w:sz="4" w:space="0"/>
            </w:tcBorders>
            <w:vAlign w:val="center"/>
          </w:tcPr>
          <w:p>
            <w:pPr>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74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设</w:t>
            </w:r>
          </w:p>
        </w:tc>
        <w:tc>
          <w:tcPr>
            <w:tcW w:w="587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kern w:val="0"/>
                <w:sz w:val="20"/>
                <w:szCs w:val="20"/>
                <w:highlight w:val="none"/>
              </w:rPr>
            </w:pPr>
            <w:r>
              <w:rPr>
                <w:rFonts w:ascii="宋体" w:hAnsi="宋体"/>
                <w:color w:val="auto"/>
                <w:kern w:val="0"/>
                <w:sz w:val="20"/>
                <w:szCs w:val="20"/>
                <w:highlight w:val="none"/>
              </w:rPr>
              <w:t>1</w:t>
            </w:r>
            <w:r>
              <w:rPr>
                <w:rFonts w:hint="eastAsia" w:ascii="宋体" w:hAnsi="宋体"/>
                <w:color w:val="auto"/>
                <w:kern w:val="0"/>
                <w:sz w:val="20"/>
                <w:szCs w:val="20"/>
                <w:highlight w:val="none"/>
              </w:rPr>
              <w:t>、消控秩序维护员、消防安全管理、巡逻秩序维护员、大厅、门岗管理等制度建设情况</w:t>
            </w:r>
          </w:p>
        </w:tc>
        <w:tc>
          <w:tcPr>
            <w:tcW w:w="248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73" w:hRule="atLeast"/>
          <w:jc w:val="center"/>
        </w:trPr>
        <w:tc>
          <w:tcPr>
            <w:tcW w:w="663"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4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highlight w:val="none"/>
              </w:rPr>
            </w:pPr>
          </w:p>
        </w:tc>
        <w:tc>
          <w:tcPr>
            <w:tcW w:w="58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2</w:t>
            </w:r>
            <w:r>
              <w:rPr>
                <w:rFonts w:hint="eastAsia" w:ascii="宋体" w:hAnsi="宋体"/>
                <w:color w:val="auto"/>
                <w:kern w:val="0"/>
                <w:sz w:val="20"/>
                <w:szCs w:val="20"/>
                <w:highlight w:val="none"/>
              </w:rPr>
              <w:t>、人员定岗制度建设及备案情况</w:t>
            </w:r>
          </w:p>
        </w:tc>
        <w:tc>
          <w:tcPr>
            <w:tcW w:w="248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73" w:hRule="atLeast"/>
          <w:jc w:val="center"/>
        </w:trPr>
        <w:tc>
          <w:tcPr>
            <w:tcW w:w="663"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4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highlight w:val="none"/>
              </w:rPr>
            </w:pPr>
          </w:p>
        </w:tc>
        <w:tc>
          <w:tcPr>
            <w:tcW w:w="58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3</w:t>
            </w:r>
            <w:r>
              <w:rPr>
                <w:rFonts w:hint="eastAsia" w:ascii="宋体" w:hAnsi="宋体"/>
                <w:color w:val="auto"/>
                <w:kern w:val="0"/>
                <w:sz w:val="20"/>
                <w:szCs w:val="20"/>
                <w:highlight w:val="none"/>
              </w:rPr>
              <w:t>、岗位职责是否明确并附书面备案</w:t>
            </w:r>
          </w:p>
        </w:tc>
        <w:tc>
          <w:tcPr>
            <w:tcW w:w="248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r>
      <w:tr>
        <w:tblPrEx>
          <w:tblLayout w:type="fixed"/>
          <w:tblCellMar>
            <w:top w:w="0" w:type="dxa"/>
            <w:left w:w="108" w:type="dxa"/>
            <w:bottom w:w="0" w:type="dxa"/>
            <w:right w:w="108" w:type="dxa"/>
          </w:tblCellMar>
        </w:tblPrEx>
        <w:trPr>
          <w:trHeight w:val="373" w:hRule="atLeast"/>
          <w:jc w:val="center"/>
        </w:trPr>
        <w:tc>
          <w:tcPr>
            <w:tcW w:w="663"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4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highlight w:val="none"/>
              </w:rPr>
            </w:pPr>
          </w:p>
        </w:tc>
        <w:tc>
          <w:tcPr>
            <w:tcW w:w="58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4</w:t>
            </w:r>
            <w:r>
              <w:rPr>
                <w:rFonts w:hint="eastAsia" w:ascii="宋体" w:hAnsi="宋体"/>
                <w:color w:val="auto"/>
                <w:kern w:val="0"/>
                <w:sz w:val="20"/>
                <w:szCs w:val="20"/>
                <w:highlight w:val="none"/>
              </w:rPr>
              <w:t>、所有秩序维护员人员守则制度、人员纪律建设、秩序维护员员权限制度、秩序维护员保密原则等制度建设是否完善</w:t>
            </w:r>
          </w:p>
        </w:tc>
        <w:tc>
          <w:tcPr>
            <w:tcW w:w="2487" w:type="dxa"/>
            <w:tcBorders>
              <w:top w:val="nil"/>
              <w:left w:val="nil"/>
              <w:bottom w:val="single" w:color="auto" w:sz="4" w:space="0"/>
              <w:right w:val="single" w:color="auto" w:sz="4" w:space="0"/>
            </w:tcBorders>
            <w:vAlign w:val="center"/>
          </w:tcPr>
          <w:p>
            <w:pPr>
              <w:widowControl/>
              <w:jc w:val="center"/>
              <w:rPr>
                <w:rFonts w:ascii="宋体" w:hAnsi="宋体" w:cs="宋体"/>
                <w:snapToGrid w:val="0"/>
                <w:color w:val="auto"/>
                <w:spacing w:val="-8"/>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73" w:hRule="atLeast"/>
          <w:jc w:val="center"/>
        </w:trPr>
        <w:tc>
          <w:tcPr>
            <w:tcW w:w="663"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4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highlight w:val="none"/>
              </w:rPr>
            </w:pPr>
          </w:p>
        </w:tc>
        <w:tc>
          <w:tcPr>
            <w:tcW w:w="58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5</w:t>
            </w:r>
            <w:r>
              <w:rPr>
                <w:rFonts w:hint="eastAsia" w:ascii="宋体" w:hAnsi="宋体"/>
                <w:color w:val="auto"/>
                <w:kern w:val="0"/>
                <w:sz w:val="20"/>
                <w:szCs w:val="20"/>
                <w:highlight w:val="none"/>
              </w:rPr>
              <w:t>、秩序维护员员的交接班制度、考勤制度、公共管理巡逻制度是否建立，实行记录情况</w:t>
            </w:r>
          </w:p>
        </w:tc>
        <w:tc>
          <w:tcPr>
            <w:tcW w:w="248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73" w:hRule="atLeast"/>
          <w:jc w:val="center"/>
        </w:trPr>
        <w:tc>
          <w:tcPr>
            <w:tcW w:w="663"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4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highlight w:val="none"/>
              </w:rPr>
            </w:pPr>
          </w:p>
        </w:tc>
        <w:tc>
          <w:tcPr>
            <w:tcW w:w="58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6</w:t>
            </w:r>
            <w:r>
              <w:rPr>
                <w:rFonts w:hint="eastAsia" w:ascii="宋体" w:hAnsi="宋体"/>
                <w:color w:val="auto"/>
                <w:kern w:val="0"/>
                <w:sz w:val="20"/>
                <w:szCs w:val="20"/>
                <w:highlight w:val="none"/>
              </w:rPr>
              <w:t>、监控室制度、电视监控系统的维护方案等建设情况</w:t>
            </w:r>
          </w:p>
        </w:tc>
        <w:tc>
          <w:tcPr>
            <w:tcW w:w="2487" w:type="dxa"/>
            <w:tcBorders>
              <w:top w:val="nil"/>
              <w:left w:val="nil"/>
              <w:bottom w:val="nil"/>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43" w:type="dxa"/>
            <w:tcBorders>
              <w:top w:val="nil"/>
              <w:left w:val="nil"/>
              <w:bottom w:val="nil"/>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1005" w:hRule="atLeast"/>
          <w:jc w:val="center"/>
        </w:trPr>
        <w:tc>
          <w:tcPr>
            <w:tcW w:w="663"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40"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highlight w:val="none"/>
              </w:rPr>
            </w:pPr>
          </w:p>
        </w:tc>
        <w:tc>
          <w:tcPr>
            <w:tcW w:w="58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 w:val="20"/>
                <w:szCs w:val="20"/>
                <w:highlight w:val="none"/>
              </w:rPr>
            </w:pPr>
            <w:r>
              <w:rPr>
                <w:rFonts w:hint="eastAsia" w:ascii="宋体" w:hAnsi="宋体"/>
                <w:color w:val="auto"/>
                <w:kern w:val="0"/>
                <w:sz w:val="20"/>
                <w:szCs w:val="20"/>
                <w:highlight w:val="none"/>
              </w:rPr>
              <w:t>7大厅岗（以上班时间为准），自由走动不超过岗哨点1米，不得迟到、早退、脱岗、睡岗、串岗</w:t>
            </w:r>
          </w:p>
        </w:tc>
        <w:tc>
          <w:tcPr>
            <w:tcW w:w="2487" w:type="dxa"/>
            <w:tcBorders>
              <w:top w:val="nil"/>
              <w:left w:val="nil"/>
              <w:bottom w:val="single" w:color="auto" w:sz="4" w:space="0"/>
              <w:right w:val="single" w:color="auto" w:sz="4" w:space="0"/>
            </w:tcBorders>
            <w:vAlign w:val="center"/>
          </w:tcPr>
          <w:p>
            <w:pPr>
              <w:widowControl/>
              <w:jc w:val="center"/>
              <w:rPr>
                <w:rFonts w:ascii="宋体" w:hAnsi="宋体" w:cs="宋体"/>
                <w:snapToGrid w:val="0"/>
                <w:color w:val="auto"/>
                <w:spacing w:val="-8"/>
                <w:kern w:val="0"/>
                <w:sz w:val="20"/>
                <w:szCs w:val="20"/>
                <w:highlight w:val="none"/>
              </w:rPr>
            </w:pPr>
            <w:r>
              <w:rPr>
                <w:rFonts w:hint="eastAsia" w:ascii="宋体" w:hAnsi="宋体" w:cs="宋体"/>
                <w:snapToGrid w:val="0"/>
                <w:color w:val="auto"/>
                <w:spacing w:val="-8"/>
                <w:kern w:val="0"/>
                <w:sz w:val="20"/>
                <w:szCs w:val="20"/>
                <w:highlight w:val="none"/>
              </w:rPr>
              <w:t>不满足一项扣1分</w:t>
            </w:r>
          </w:p>
        </w:tc>
        <w:tc>
          <w:tcPr>
            <w:tcW w:w="114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r>
      <w:tr>
        <w:tblPrEx>
          <w:tblLayout w:type="fixed"/>
          <w:tblCellMar>
            <w:top w:w="0" w:type="dxa"/>
            <w:left w:w="108" w:type="dxa"/>
            <w:bottom w:w="0" w:type="dxa"/>
            <w:right w:w="108" w:type="dxa"/>
          </w:tblCellMar>
        </w:tblPrEx>
        <w:trPr>
          <w:trHeight w:val="502" w:hRule="atLeast"/>
          <w:jc w:val="center"/>
        </w:trPr>
        <w:tc>
          <w:tcPr>
            <w:tcW w:w="66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4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rPr>
            </w:pPr>
          </w:p>
        </w:tc>
        <w:tc>
          <w:tcPr>
            <w:tcW w:w="58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 w:val="20"/>
                <w:szCs w:val="20"/>
                <w:highlight w:val="none"/>
              </w:rPr>
            </w:pPr>
            <w:r>
              <w:rPr>
                <w:rFonts w:hint="eastAsia" w:ascii="宋体" w:hAnsi="宋体"/>
                <w:color w:val="auto"/>
                <w:kern w:val="0"/>
                <w:sz w:val="20"/>
                <w:szCs w:val="20"/>
                <w:highlight w:val="none"/>
              </w:rPr>
              <w:t>8.值岗：值岗时不能吸烟、看报刊、玩手机、杂志、带耳机、看电视、干私活、喝酒、下棋或携带无关人员等</w:t>
            </w:r>
          </w:p>
        </w:tc>
        <w:tc>
          <w:tcPr>
            <w:tcW w:w="248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napToGrid w:val="0"/>
                <w:color w:val="auto"/>
                <w:spacing w:val="-8"/>
                <w:kern w:val="0"/>
                <w:sz w:val="20"/>
                <w:szCs w:val="20"/>
                <w:highlight w:val="none"/>
              </w:rPr>
            </w:pPr>
            <w:r>
              <w:rPr>
                <w:rFonts w:hint="eastAsia" w:ascii="宋体" w:hAnsi="宋体" w:cs="宋体"/>
                <w:snapToGrid w:val="0"/>
                <w:color w:val="auto"/>
                <w:spacing w:val="-8"/>
                <w:kern w:val="0"/>
                <w:sz w:val="20"/>
                <w:szCs w:val="20"/>
                <w:highlight w:val="none"/>
              </w:rPr>
              <w:t>不满足一项扣1分</w:t>
            </w:r>
          </w:p>
        </w:tc>
        <w:tc>
          <w:tcPr>
            <w:tcW w:w="11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r>
    </w:tbl>
    <w:p>
      <w:pPr>
        <w:spacing w:line="440" w:lineRule="exact"/>
        <w:rPr>
          <w:rFonts w:ascii="宋体" w:hAnsi="宋体" w:cs="Arial"/>
          <w:color w:val="auto"/>
          <w:szCs w:val="21"/>
          <w:highlight w:val="none"/>
        </w:rPr>
      </w:pPr>
      <w:r>
        <w:rPr>
          <w:rFonts w:ascii="宋体" w:hAnsi="宋体" w:cs="Arial"/>
          <w:color w:val="auto"/>
          <w:szCs w:val="21"/>
          <w:highlight w:val="none"/>
        </w:rPr>
        <w:br w:type="page"/>
      </w:r>
    </w:p>
    <w:p>
      <w:pPr>
        <w:tabs>
          <w:tab w:val="center" w:pos="4564"/>
        </w:tabs>
        <w:spacing w:line="440" w:lineRule="exact"/>
        <w:rPr>
          <w:rFonts w:ascii="宋体" w:hAnsi="宋体" w:cs="Arial"/>
          <w:color w:val="auto"/>
          <w:szCs w:val="21"/>
          <w:highlight w:val="none"/>
        </w:rPr>
      </w:pPr>
      <w:r>
        <w:rPr>
          <w:rFonts w:hint="eastAsia" w:ascii="宋体" w:hAnsi="宋体" w:cs="Arial"/>
          <w:color w:val="auto"/>
          <w:szCs w:val="21"/>
          <w:highlight w:val="none"/>
        </w:rPr>
        <w:tab/>
      </w:r>
    </w:p>
    <w:tbl>
      <w:tblPr>
        <w:tblStyle w:val="27"/>
        <w:tblW w:w="10510" w:type="dxa"/>
        <w:jc w:val="center"/>
        <w:tblInd w:w="0" w:type="dxa"/>
        <w:tblLayout w:type="fixed"/>
        <w:tblCellMar>
          <w:top w:w="0" w:type="dxa"/>
          <w:left w:w="108" w:type="dxa"/>
          <w:bottom w:w="0" w:type="dxa"/>
          <w:right w:w="108" w:type="dxa"/>
        </w:tblCellMar>
      </w:tblPr>
      <w:tblGrid>
        <w:gridCol w:w="680"/>
        <w:gridCol w:w="759"/>
        <w:gridCol w:w="5669"/>
        <w:gridCol w:w="2268"/>
        <w:gridCol w:w="1134"/>
      </w:tblGrid>
      <w:tr>
        <w:tblPrEx>
          <w:tblLayout w:type="fixed"/>
          <w:tblCellMar>
            <w:top w:w="0" w:type="dxa"/>
            <w:left w:w="108" w:type="dxa"/>
            <w:bottom w:w="0" w:type="dxa"/>
            <w:right w:w="108" w:type="dxa"/>
          </w:tblCellMar>
        </w:tblPrEx>
        <w:trPr>
          <w:trHeight w:val="511"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7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内 容</w:t>
            </w:r>
          </w:p>
        </w:tc>
        <w:tc>
          <w:tcPr>
            <w:tcW w:w="5669"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目   标   要   求</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考  核  标  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基本分</w:t>
            </w:r>
          </w:p>
        </w:tc>
      </w:tr>
      <w:tr>
        <w:tblPrEx>
          <w:tblLayout w:type="fixed"/>
          <w:tblCellMar>
            <w:top w:w="0" w:type="dxa"/>
            <w:left w:w="108" w:type="dxa"/>
            <w:bottom w:w="0" w:type="dxa"/>
            <w:right w:w="108" w:type="dxa"/>
          </w:tblCellMar>
        </w:tblPrEx>
        <w:trPr>
          <w:trHeight w:val="298" w:hRule="atLeast"/>
          <w:jc w:val="center"/>
        </w:trPr>
        <w:tc>
          <w:tcPr>
            <w:tcW w:w="68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olor w:val="auto"/>
                <w:kern w:val="0"/>
                <w:sz w:val="24"/>
                <w:highlight w:val="none"/>
              </w:rPr>
            </w:pPr>
            <w:r>
              <w:rPr>
                <w:rFonts w:hint="eastAsia" w:ascii="宋体" w:hAnsi="宋体"/>
                <w:color w:val="auto"/>
                <w:kern w:val="0"/>
                <w:sz w:val="24"/>
                <w:highlight w:val="none"/>
              </w:rPr>
              <w:t>3</w:t>
            </w:r>
          </w:p>
        </w:tc>
        <w:tc>
          <w:tcPr>
            <w:tcW w:w="759"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量</w:t>
            </w:r>
          </w:p>
        </w:tc>
        <w:tc>
          <w:tcPr>
            <w:tcW w:w="566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kern w:val="0"/>
                <w:sz w:val="20"/>
                <w:szCs w:val="20"/>
                <w:highlight w:val="none"/>
              </w:rPr>
            </w:pPr>
            <w:r>
              <w:rPr>
                <w:rFonts w:ascii="宋体" w:hAnsi="宋体"/>
                <w:color w:val="auto"/>
                <w:kern w:val="0"/>
                <w:sz w:val="20"/>
                <w:szCs w:val="20"/>
                <w:highlight w:val="none"/>
              </w:rPr>
              <w:t>1</w:t>
            </w:r>
            <w:r>
              <w:rPr>
                <w:rFonts w:hint="eastAsia" w:ascii="宋体" w:hAnsi="宋体"/>
                <w:color w:val="auto"/>
                <w:kern w:val="0"/>
                <w:sz w:val="20"/>
                <w:szCs w:val="20"/>
                <w:highlight w:val="none"/>
              </w:rPr>
              <w:t>、在承包区域的各项服务，其工作时间满足招标人的要求，包括公众假期，做到无论有什么理由，都不可以停止服务；是否做到全天二十四小时服务；</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298"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56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2</w:t>
            </w:r>
            <w:r>
              <w:rPr>
                <w:rFonts w:hint="eastAsia" w:ascii="宋体" w:hAnsi="宋体"/>
                <w:color w:val="auto"/>
                <w:kern w:val="0"/>
                <w:sz w:val="20"/>
                <w:szCs w:val="20"/>
                <w:highlight w:val="none"/>
              </w:rPr>
              <w:t>、工作人员上岗穿着统一的制服及许可的装饰物品；</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r>
      <w:tr>
        <w:tblPrEx>
          <w:tblLayout w:type="fixed"/>
          <w:tblCellMar>
            <w:top w:w="0" w:type="dxa"/>
            <w:left w:w="108" w:type="dxa"/>
            <w:bottom w:w="0" w:type="dxa"/>
            <w:right w:w="108" w:type="dxa"/>
          </w:tblCellMar>
        </w:tblPrEx>
        <w:trPr>
          <w:trHeight w:val="298"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56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3</w:t>
            </w:r>
            <w:r>
              <w:rPr>
                <w:rFonts w:hint="eastAsia" w:ascii="宋体" w:hAnsi="宋体"/>
                <w:color w:val="auto"/>
                <w:kern w:val="0"/>
                <w:sz w:val="20"/>
                <w:szCs w:val="20"/>
                <w:highlight w:val="none"/>
              </w:rPr>
              <w:t>、在承包的区域经营范围内，不准利用权力做不允许经营的情况；</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298"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56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4</w:t>
            </w:r>
            <w:r>
              <w:rPr>
                <w:rFonts w:hint="eastAsia" w:ascii="宋体" w:hAnsi="宋体"/>
                <w:color w:val="auto"/>
                <w:kern w:val="0"/>
                <w:sz w:val="20"/>
                <w:szCs w:val="20"/>
                <w:highlight w:val="none"/>
              </w:rPr>
              <w:t>、在承包期内保证区域内的设施、设备良好的运营状况和环境状况及后勤中心提供设备、设施、工具的完好性（正常折旧除外）；</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snapToGrid w:val="0"/>
                <w:color w:val="auto"/>
                <w:spacing w:val="-8"/>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298"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56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5</w:t>
            </w:r>
            <w:r>
              <w:rPr>
                <w:rFonts w:hint="eastAsia" w:ascii="宋体" w:hAnsi="宋体"/>
                <w:color w:val="auto"/>
                <w:kern w:val="0"/>
                <w:sz w:val="20"/>
                <w:szCs w:val="20"/>
                <w:highlight w:val="none"/>
              </w:rPr>
              <w:t>、在承包区域内因作业所需增加机械、电力设备及设施经征得同意，并进行记录备案；</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298"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56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6</w:t>
            </w:r>
            <w:r>
              <w:rPr>
                <w:rFonts w:hint="eastAsia" w:ascii="宋体" w:hAnsi="宋体"/>
                <w:color w:val="auto"/>
                <w:kern w:val="0"/>
                <w:sz w:val="20"/>
                <w:szCs w:val="20"/>
                <w:highlight w:val="none"/>
              </w:rPr>
              <w:t>、工作人员不准向行政大楼内相关人员索取小费或物品等；在承包区域住宿不准从事非法活动；不准安装任何可能造成电缆负载过大的电器设备；未获书面同意，不准在承包区域存放易燃物品或气味浓烈的液体等；</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298"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56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7</w:t>
            </w:r>
            <w:r>
              <w:rPr>
                <w:rFonts w:hint="eastAsia" w:ascii="宋体" w:hAnsi="宋体"/>
                <w:color w:val="auto"/>
                <w:kern w:val="0"/>
                <w:sz w:val="20"/>
                <w:szCs w:val="20"/>
                <w:highlight w:val="none"/>
              </w:rPr>
              <w:t>、对发现问题没有及时处理或没有及时上报情况；</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298"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56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8</w:t>
            </w:r>
            <w:r>
              <w:rPr>
                <w:rFonts w:hint="eastAsia" w:ascii="宋体" w:hAnsi="宋体"/>
                <w:color w:val="auto"/>
                <w:kern w:val="0"/>
                <w:sz w:val="20"/>
                <w:szCs w:val="20"/>
                <w:highlight w:val="none"/>
              </w:rPr>
              <w:t>、遇突发事件或安全检查时，有配合有关部门执行任务，并指定专职人员协助工作，直至完成好任务；</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r>
      <w:tr>
        <w:tblPrEx>
          <w:tblLayout w:type="fixed"/>
          <w:tblCellMar>
            <w:top w:w="0" w:type="dxa"/>
            <w:left w:w="108" w:type="dxa"/>
            <w:bottom w:w="0" w:type="dxa"/>
            <w:right w:w="108" w:type="dxa"/>
          </w:tblCellMar>
        </w:tblPrEx>
        <w:trPr>
          <w:trHeight w:val="298"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56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9</w:t>
            </w:r>
            <w:r>
              <w:rPr>
                <w:rFonts w:hint="eastAsia" w:ascii="宋体" w:hAnsi="宋体"/>
                <w:color w:val="auto"/>
                <w:kern w:val="0"/>
                <w:sz w:val="20"/>
                <w:szCs w:val="20"/>
                <w:highlight w:val="none"/>
              </w:rPr>
              <w:t>、对上级（户主）交办的临时性任务，及时完成；</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298"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rPr>
            </w:pPr>
          </w:p>
        </w:tc>
        <w:tc>
          <w:tcPr>
            <w:tcW w:w="56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10</w:t>
            </w:r>
            <w:r>
              <w:rPr>
                <w:rFonts w:hint="eastAsia" w:ascii="宋体" w:hAnsi="宋体"/>
                <w:color w:val="auto"/>
                <w:kern w:val="0"/>
                <w:sz w:val="20"/>
                <w:szCs w:val="20"/>
                <w:highlight w:val="none"/>
              </w:rPr>
              <w:t>、管理层是否以身作则，管理人员对队员的工作是否经常性认真检查和指导，在遵守秩序维护员制度外并能否遵守有关规定；</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r>
      <w:tr>
        <w:tblPrEx>
          <w:tblLayout w:type="fixed"/>
          <w:tblCellMar>
            <w:top w:w="0" w:type="dxa"/>
            <w:left w:w="108" w:type="dxa"/>
            <w:bottom w:w="0" w:type="dxa"/>
            <w:right w:w="108" w:type="dxa"/>
          </w:tblCellMar>
        </w:tblPrEx>
        <w:trPr>
          <w:trHeight w:val="298" w:hRule="atLeast"/>
          <w:jc w:val="center"/>
        </w:trPr>
        <w:tc>
          <w:tcPr>
            <w:tcW w:w="68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olor w:val="auto"/>
                <w:kern w:val="0"/>
                <w:sz w:val="24"/>
                <w:highlight w:val="none"/>
              </w:rPr>
            </w:pPr>
            <w:r>
              <w:rPr>
                <w:rFonts w:ascii="宋体" w:hAnsi="宋体"/>
                <w:color w:val="auto"/>
                <w:kern w:val="0"/>
                <w:sz w:val="24"/>
                <w:highlight w:val="none"/>
              </w:rPr>
              <w:t>4</w:t>
            </w:r>
          </w:p>
        </w:tc>
        <w:tc>
          <w:tcPr>
            <w:tcW w:w="759"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日常服务情况</w:t>
            </w:r>
          </w:p>
        </w:tc>
        <w:tc>
          <w:tcPr>
            <w:tcW w:w="566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kern w:val="0"/>
                <w:sz w:val="20"/>
                <w:szCs w:val="20"/>
                <w:highlight w:val="none"/>
              </w:rPr>
            </w:pPr>
            <w:r>
              <w:rPr>
                <w:rFonts w:ascii="宋体" w:hAnsi="宋体"/>
                <w:color w:val="auto"/>
                <w:kern w:val="0"/>
                <w:sz w:val="20"/>
                <w:szCs w:val="20"/>
                <w:highlight w:val="none"/>
              </w:rPr>
              <w:t>1</w:t>
            </w:r>
            <w:r>
              <w:rPr>
                <w:rFonts w:hint="eastAsia" w:ascii="宋体" w:hAnsi="宋体"/>
                <w:color w:val="auto"/>
                <w:kern w:val="0"/>
                <w:sz w:val="20"/>
                <w:szCs w:val="20"/>
                <w:highlight w:val="none"/>
              </w:rPr>
              <w:t>、保证大楼的工作生活秩序正常；</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298"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56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2</w:t>
            </w:r>
            <w:r>
              <w:rPr>
                <w:rFonts w:hint="eastAsia" w:ascii="宋体" w:hAnsi="宋体"/>
                <w:color w:val="auto"/>
                <w:kern w:val="0"/>
                <w:sz w:val="20"/>
                <w:szCs w:val="20"/>
                <w:highlight w:val="none"/>
              </w:rPr>
              <w:t>、安全保卫工作有序；</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snapToGrid w:val="0"/>
                <w:color w:val="auto"/>
                <w:spacing w:val="-8"/>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298"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56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3</w:t>
            </w:r>
            <w:r>
              <w:rPr>
                <w:rFonts w:hint="eastAsia" w:ascii="宋体" w:hAnsi="宋体"/>
                <w:color w:val="auto"/>
                <w:kern w:val="0"/>
                <w:sz w:val="20"/>
                <w:szCs w:val="20"/>
                <w:highlight w:val="none"/>
              </w:rPr>
              <w:t>、监控工作到位；</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298"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4"/>
                <w:highlight w:val="none"/>
              </w:rPr>
            </w:pPr>
          </w:p>
        </w:tc>
        <w:tc>
          <w:tcPr>
            <w:tcW w:w="56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4</w:t>
            </w:r>
            <w:r>
              <w:rPr>
                <w:rFonts w:hint="eastAsia" w:ascii="宋体" w:hAnsi="宋体"/>
                <w:color w:val="auto"/>
                <w:kern w:val="0"/>
                <w:sz w:val="20"/>
                <w:szCs w:val="20"/>
                <w:highlight w:val="none"/>
              </w:rPr>
              <w:t>、消防处理是否及时；</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589"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highlight w:val="none"/>
              </w:rPr>
            </w:pPr>
          </w:p>
        </w:tc>
        <w:tc>
          <w:tcPr>
            <w:tcW w:w="56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ascii="宋体" w:hAnsi="宋体"/>
                <w:color w:val="auto"/>
                <w:kern w:val="0"/>
                <w:sz w:val="20"/>
                <w:szCs w:val="20"/>
                <w:highlight w:val="none"/>
              </w:rPr>
              <w:t>5</w:t>
            </w:r>
            <w:r>
              <w:rPr>
                <w:rFonts w:hint="eastAsia" w:ascii="宋体" w:hAnsi="宋体"/>
                <w:color w:val="auto"/>
                <w:kern w:val="0"/>
                <w:sz w:val="20"/>
                <w:szCs w:val="20"/>
                <w:highlight w:val="none"/>
              </w:rPr>
              <w:t>、维持停车库（场）秩序（地下停车场）；</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bl>
    <w:p>
      <w:pPr>
        <w:spacing w:line="440" w:lineRule="exact"/>
        <w:rPr>
          <w:rFonts w:ascii="宋体" w:hAnsi="宋体" w:cs="Arial"/>
          <w:color w:val="auto"/>
          <w:szCs w:val="21"/>
          <w:highlight w:val="none"/>
        </w:rPr>
      </w:pPr>
      <w:r>
        <w:rPr>
          <w:rFonts w:ascii="宋体" w:hAnsi="宋体" w:cs="Arial"/>
          <w:color w:val="auto"/>
          <w:szCs w:val="21"/>
          <w:highlight w:val="none"/>
        </w:rPr>
        <w:br w:type="page"/>
      </w:r>
    </w:p>
    <w:tbl>
      <w:tblPr>
        <w:tblStyle w:val="27"/>
        <w:tblpPr w:leftFromText="180" w:rightFromText="180" w:vertAnchor="text" w:horzAnchor="margin" w:tblpXSpec="center" w:tblpY="851"/>
        <w:tblW w:w="11276" w:type="dxa"/>
        <w:tblInd w:w="0" w:type="dxa"/>
        <w:tblLayout w:type="fixed"/>
        <w:tblCellMar>
          <w:top w:w="0" w:type="dxa"/>
          <w:left w:w="108" w:type="dxa"/>
          <w:bottom w:w="0" w:type="dxa"/>
          <w:right w:w="108" w:type="dxa"/>
        </w:tblCellMar>
      </w:tblPr>
      <w:tblGrid>
        <w:gridCol w:w="705"/>
        <w:gridCol w:w="786"/>
        <w:gridCol w:w="5544"/>
        <w:gridCol w:w="2827"/>
        <w:gridCol w:w="1414"/>
      </w:tblGrid>
      <w:tr>
        <w:tblPrEx>
          <w:tblLayout w:type="fixed"/>
          <w:tblCellMar>
            <w:top w:w="0" w:type="dxa"/>
            <w:left w:w="108" w:type="dxa"/>
            <w:bottom w:w="0" w:type="dxa"/>
            <w:right w:w="108" w:type="dxa"/>
          </w:tblCellMar>
        </w:tblPrEx>
        <w:trPr>
          <w:trHeight w:val="544" w:hRule="atLeast"/>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7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内 容</w:t>
            </w:r>
          </w:p>
        </w:tc>
        <w:tc>
          <w:tcPr>
            <w:tcW w:w="5544"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目   标   要   求</w:t>
            </w:r>
          </w:p>
        </w:tc>
        <w:tc>
          <w:tcPr>
            <w:tcW w:w="28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考  核  标  准</w:t>
            </w:r>
          </w:p>
        </w:tc>
        <w:tc>
          <w:tcPr>
            <w:tcW w:w="14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基本分</w:t>
            </w:r>
          </w:p>
        </w:tc>
      </w:tr>
      <w:tr>
        <w:tblPrEx>
          <w:tblLayout w:type="fixed"/>
          <w:tblCellMar>
            <w:top w:w="0" w:type="dxa"/>
            <w:left w:w="108" w:type="dxa"/>
            <w:bottom w:w="0" w:type="dxa"/>
            <w:right w:w="108" w:type="dxa"/>
          </w:tblCellMar>
        </w:tblPrEx>
        <w:trPr>
          <w:trHeight w:val="317" w:hRule="atLeast"/>
        </w:trPr>
        <w:tc>
          <w:tcPr>
            <w:tcW w:w="70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olor w:val="auto"/>
                <w:kern w:val="0"/>
                <w:sz w:val="20"/>
                <w:szCs w:val="20"/>
                <w:highlight w:val="none"/>
              </w:rPr>
              <w:t>5</w:t>
            </w:r>
          </w:p>
        </w:tc>
        <w:tc>
          <w:tcPr>
            <w:tcW w:w="78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思想作风建设</w:t>
            </w:r>
          </w:p>
        </w:tc>
        <w:tc>
          <w:tcPr>
            <w:tcW w:w="554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kern w:val="0"/>
                <w:sz w:val="20"/>
                <w:szCs w:val="20"/>
                <w:highlight w:val="none"/>
              </w:rPr>
            </w:pPr>
            <w:r>
              <w:rPr>
                <w:rFonts w:ascii="宋体" w:hAnsi="宋体"/>
                <w:color w:val="auto"/>
                <w:kern w:val="0"/>
                <w:sz w:val="20"/>
                <w:szCs w:val="20"/>
                <w:highlight w:val="none"/>
              </w:rPr>
              <w:t>1</w:t>
            </w:r>
            <w:r>
              <w:rPr>
                <w:rFonts w:hint="eastAsia" w:ascii="宋体" w:hAnsi="宋体"/>
                <w:color w:val="auto"/>
                <w:kern w:val="0"/>
                <w:sz w:val="20"/>
                <w:szCs w:val="20"/>
                <w:highlight w:val="none"/>
              </w:rPr>
              <w:t>、员工的职业道德、文明礼貌、工作作风、办事效率等方面；</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17" w:hRule="atLeast"/>
        </w:trPr>
        <w:tc>
          <w:tcPr>
            <w:tcW w:w="70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554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kern w:val="0"/>
                <w:sz w:val="20"/>
                <w:szCs w:val="20"/>
                <w:highlight w:val="none"/>
              </w:rPr>
            </w:pPr>
            <w:r>
              <w:rPr>
                <w:rFonts w:ascii="宋体" w:hAnsi="宋体"/>
                <w:color w:val="auto"/>
                <w:kern w:val="0"/>
                <w:sz w:val="20"/>
                <w:szCs w:val="20"/>
                <w:highlight w:val="none"/>
              </w:rPr>
              <w:t>2</w:t>
            </w:r>
            <w:r>
              <w:rPr>
                <w:rFonts w:hint="eastAsia" w:ascii="宋体" w:hAnsi="宋体"/>
                <w:color w:val="auto"/>
                <w:kern w:val="0"/>
                <w:sz w:val="20"/>
                <w:szCs w:val="20"/>
                <w:highlight w:val="none"/>
              </w:rPr>
              <w:t>、是否重视对员工做深入细致的思想政治工作和培训教育，使所有员工都能做到爱岗敬业；</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17" w:hRule="atLeast"/>
        </w:trPr>
        <w:tc>
          <w:tcPr>
            <w:tcW w:w="70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554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kern w:val="0"/>
                <w:sz w:val="20"/>
                <w:szCs w:val="20"/>
                <w:highlight w:val="none"/>
              </w:rPr>
            </w:pPr>
            <w:r>
              <w:rPr>
                <w:rFonts w:ascii="宋体" w:hAnsi="宋体"/>
                <w:color w:val="auto"/>
                <w:kern w:val="0"/>
                <w:sz w:val="20"/>
                <w:szCs w:val="20"/>
                <w:highlight w:val="none"/>
              </w:rPr>
              <w:t>3</w:t>
            </w:r>
            <w:r>
              <w:rPr>
                <w:rFonts w:hint="eastAsia" w:ascii="宋体" w:hAnsi="宋体"/>
                <w:color w:val="auto"/>
                <w:kern w:val="0"/>
                <w:sz w:val="20"/>
                <w:szCs w:val="20"/>
                <w:highlight w:val="none"/>
              </w:rPr>
              <w:t>、所有员工仪表是否端正；</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17" w:hRule="atLeast"/>
        </w:trPr>
        <w:tc>
          <w:tcPr>
            <w:tcW w:w="70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554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kern w:val="0"/>
                <w:sz w:val="20"/>
                <w:szCs w:val="20"/>
                <w:highlight w:val="none"/>
              </w:rPr>
            </w:pPr>
            <w:r>
              <w:rPr>
                <w:rFonts w:ascii="宋体" w:hAnsi="宋体"/>
                <w:color w:val="auto"/>
                <w:kern w:val="0"/>
                <w:sz w:val="20"/>
                <w:szCs w:val="20"/>
                <w:highlight w:val="none"/>
              </w:rPr>
              <w:t>4</w:t>
            </w:r>
            <w:r>
              <w:rPr>
                <w:rFonts w:hint="eastAsia" w:ascii="宋体" w:hAnsi="宋体"/>
                <w:color w:val="auto"/>
                <w:kern w:val="0"/>
                <w:sz w:val="20"/>
                <w:szCs w:val="20"/>
                <w:highlight w:val="none"/>
              </w:rPr>
              <w:t>、员工语言得体、举止；</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s="宋体"/>
                <w:snapToGrid w:val="0"/>
                <w:color w:val="auto"/>
                <w:spacing w:val="-8"/>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17" w:hRule="atLeast"/>
        </w:trPr>
        <w:tc>
          <w:tcPr>
            <w:tcW w:w="70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554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kern w:val="0"/>
                <w:sz w:val="20"/>
                <w:szCs w:val="20"/>
                <w:highlight w:val="none"/>
              </w:rPr>
            </w:pPr>
            <w:r>
              <w:rPr>
                <w:rFonts w:hint="eastAsia" w:ascii="宋体" w:hAnsi="宋体"/>
                <w:color w:val="auto"/>
                <w:kern w:val="0"/>
                <w:sz w:val="20"/>
                <w:szCs w:val="20"/>
                <w:highlight w:val="none"/>
              </w:rPr>
              <w:t>5、态度是否友善；</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17" w:hRule="atLeast"/>
        </w:trPr>
        <w:tc>
          <w:tcPr>
            <w:tcW w:w="7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8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554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kern w:val="0"/>
                <w:sz w:val="20"/>
                <w:szCs w:val="20"/>
                <w:highlight w:val="none"/>
              </w:rPr>
            </w:pPr>
            <w:r>
              <w:rPr>
                <w:rFonts w:hint="eastAsia" w:ascii="宋体" w:hAnsi="宋体"/>
                <w:color w:val="auto"/>
                <w:kern w:val="0"/>
                <w:sz w:val="20"/>
                <w:szCs w:val="20"/>
                <w:highlight w:val="none"/>
              </w:rPr>
              <w:t>6、是否做到内部团结，工作协调，能认真履行工作职责，无玩忽职守现象；</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r>
      <w:tr>
        <w:tblPrEx>
          <w:tblLayout w:type="fixed"/>
          <w:tblCellMar>
            <w:top w:w="0" w:type="dxa"/>
            <w:left w:w="108" w:type="dxa"/>
            <w:bottom w:w="0" w:type="dxa"/>
            <w:right w:w="108" w:type="dxa"/>
          </w:tblCellMar>
        </w:tblPrEx>
        <w:trPr>
          <w:trHeight w:val="317" w:hRule="atLeast"/>
        </w:trPr>
        <w:tc>
          <w:tcPr>
            <w:tcW w:w="705" w:type="dxa"/>
            <w:vMerge w:val="restart"/>
            <w:tcBorders>
              <w:top w:val="single" w:color="auto" w:sz="4" w:space="0"/>
              <w:left w:val="single" w:color="auto" w:sz="4" w:space="0"/>
              <w:bottom w:val="single" w:color="000000" w:sz="4" w:space="0"/>
              <w:right w:val="single" w:color="auto" w:sz="4" w:space="0"/>
            </w:tcBorders>
            <w:vAlign w:val="center"/>
          </w:tcPr>
          <w:p>
            <w:pPr>
              <w:ind w:firstLine="100" w:firstLineChars="50"/>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786" w:type="dxa"/>
            <w:vMerge w:val="restart"/>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组织框架</w:t>
            </w:r>
          </w:p>
        </w:tc>
        <w:tc>
          <w:tcPr>
            <w:tcW w:w="5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 w:val="20"/>
                <w:szCs w:val="20"/>
                <w:highlight w:val="none"/>
              </w:rPr>
            </w:pPr>
            <w:r>
              <w:rPr>
                <w:rFonts w:ascii="宋体" w:hAnsi="宋体"/>
                <w:color w:val="auto"/>
                <w:kern w:val="0"/>
                <w:sz w:val="20"/>
                <w:szCs w:val="20"/>
                <w:highlight w:val="none"/>
              </w:rPr>
              <w:t>1</w:t>
            </w:r>
            <w:r>
              <w:rPr>
                <w:rFonts w:hint="eastAsia" w:ascii="宋体" w:hAnsi="宋体"/>
                <w:color w:val="auto"/>
                <w:kern w:val="0"/>
                <w:sz w:val="20"/>
                <w:szCs w:val="20"/>
                <w:highlight w:val="none"/>
              </w:rPr>
              <w:t>、组织框架层级结构是否合理；</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17" w:hRule="atLeast"/>
        </w:trPr>
        <w:tc>
          <w:tcPr>
            <w:tcW w:w="70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5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 w:val="20"/>
                <w:szCs w:val="20"/>
                <w:highlight w:val="none"/>
              </w:rPr>
            </w:pPr>
            <w:r>
              <w:rPr>
                <w:rFonts w:ascii="宋体" w:hAnsi="宋体"/>
                <w:color w:val="auto"/>
                <w:kern w:val="0"/>
                <w:sz w:val="20"/>
                <w:szCs w:val="20"/>
                <w:highlight w:val="none"/>
              </w:rPr>
              <w:t>2</w:t>
            </w:r>
            <w:r>
              <w:rPr>
                <w:rFonts w:hint="eastAsia" w:ascii="宋体" w:hAnsi="宋体"/>
                <w:color w:val="auto"/>
                <w:kern w:val="0"/>
                <w:sz w:val="20"/>
                <w:szCs w:val="20"/>
                <w:highlight w:val="none"/>
              </w:rPr>
              <w:t>、配置人员素质情况、教育培训情况；</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17" w:hRule="atLeast"/>
        </w:trPr>
        <w:tc>
          <w:tcPr>
            <w:tcW w:w="70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5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 w:val="20"/>
                <w:szCs w:val="20"/>
                <w:highlight w:val="none"/>
              </w:rPr>
            </w:pPr>
            <w:r>
              <w:rPr>
                <w:rFonts w:ascii="宋体" w:hAnsi="宋体"/>
                <w:color w:val="auto"/>
                <w:kern w:val="0"/>
                <w:sz w:val="20"/>
                <w:szCs w:val="20"/>
                <w:highlight w:val="none"/>
              </w:rPr>
              <w:t>3</w:t>
            </w:r>
            <w:r>
              <w:rPr>
                <w:rFonts w:hint="eastAsia" w:ascii="宋体" w:hAnsi="宋体"/>
                <w:color w:val="auto"/>
                <w:kern w:val="0"/>
                <w:sz w:val="20"/>
                <w:szCs w:val="20"/>
                <w:highlight w:val="none"/>
              </w:rPr>
              <w:t>、所有人员配置到位情况、变动备案情况；</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r>
      <w:tr>
        <w:tblPrEx>
          <w:tblLayout w:type="fixed"/>
          <w:tblCellMar>
            <w:top w:w="0" w:type="dxa"/>
            <w:left w:w="108" w:type="dxa"/>
            <w:bottom w:w="0" w:type="dxa"/>
            <w:right w:w="108" w:type="dxa"/>
          </w:tblCellMar>
        </w:tblPrEx>
        <w:trPr>
          <w:trHeight w:val="317" w:hRule="atLeast"/>
        </w:trPr>
        <w:tc>
          <w:tcPr>
            <w:tcW w:w="70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olor w:val="auto"/>
                <w:kern w:val="0"/>
                <w:sz w:val="20"/>
                <w:szCs w:val="20"/>
                <w:highlight w:val="none"/>
              </w:rPr>
              <w:t>7</w:t>
            </w:r>
          </w:p>
        </w:tc>
        <w:tc>
          <w:tcPr>
            <w:tcW w:w="78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制度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建设</w:t>
            </w:r>
          </w:p>
        </w:tc>
        <w:tc>
          <w:tcPr>
            <w:tcW w:w="5544"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1、是否已制订工作目标、规划和具体实施方案</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r>
              <w:rPr>
                <w:rFonts w:ascii="宋体" w:hAnsi="宋体"/>
                <w:color w:val="auto"/>
                <w:kern w:val="0"/>
                <w:sz w:val="20"/>
                <w:szCs w:val="20"/>
                <w:highlight w:val="none"/>
              </w:rPr>
              <w:t>　</w:t>
            </w:r>
          </w:p>
        </w:tc>
      </w:tr>
      <w:tr>
        <w:tblPrEx>
          <w:tblLayout w:type="fixed"/>
          <w:tblCellMar>
            <w:top w:w="0" w:type="dxa"/>
            <w:left w:w="108" w:type="dxa"/>
            <w:bottom w:w="0" w:type="dxa"/>
            <w:right w:w="108" w:type="dxa"/>
          </w:tblCellMar>
        </w:tblPrEx>
        <w:trPr>
          <w:trHeight w:val="317" w:hRule="atLeast"/>
        </w:trPr>
        <w:tc>
          <w:tcPr>
            <w:tcW w:w="705"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olor w:val="auto"/>
                <w:kern w:val="0"/>
                <w:sz w:val="20"/>
                <w:szCs w:val="20"/>
                <w:highlight w:val="none"/>
              </w:rPr>
            </w:pPr>
          </w:p>
        </w:tc>
        <w:tc>
          <w:tcPr>
            <w:tcW w:w="786"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0"/>
                <w:szCs w:val="20"/>
                <w:highlight w:val="none"/>
              </w:rPr>
            </w:pPr>
          </w:p>
        </w:tc>
        <w:tc>
          <w:tcPr>
            <w:tcW w:w="5544"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2、是否已建立健全各项管理制度、各岗位工作标准并上墙，并制定具体的落实措施和考核办法</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r>
              <w:rPr>
                <w:rFonts w:ascii="宋体" w:hAnsi="宋体"/>
                <w:color w:val="auto"/>
                <w:kern w:val="0"/>
                <w:sz w:val="20"/>
                <w:szCs w:val="20"/>
                <w:highlight w:val="none"/>
              </w:rPr>
              <w:t>　</w:t>
            </w:r>
          </w:p>
        </w:tc>
      </w:tr>
      <w:tr>
        <w:tblPrEx>
          <w:tblLayout w:type="fixed"/>
          <w:tblCellMar>
            <w:top w:w="0" w:type="dxa"/>
            <w:left w:w="108" w:type="dxa"/>
            <w:bottom w:w="0" w:type="dxa"/>
            <w:right w:w="108" w:type="dxa"/>
          </w:tblCellMar>
        </w:tblPrEx>
        <w:trPr>
          <w:trHeight w:val="317" w:hRule="atLeast"/>
        </w:trPr>
        <w:tc>
          <w:tcPr>
            <w:tcW w:w="70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5544"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3、是否编制了各类操作规程，配备所需专业技术人员并严格执行操作规程</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r>
              <w:rPr>
                <w:rFonts w:ascii="宋体" w:hAnsi="宋体"/>
                <w:color w:val="auto"/>
                <w:kern w:val="0"/>
                <w:sz w:val="20"/>
                <w:szCs w:val="20"/>
                <w:highlight w:val="none"/>
              </w:rPr>
              <w:t>　</w:t>
            </w:r>
          </w:p>
        </w:tc>
      </w:tr>
      <w:tr>
        <w:tblPrEx>
          <w:tblLayout w:type="fixed"/>
          <w:tblCellMar>
            <w:top w:w="0" w:type="dxa"/>
            <w:left w:w="108" w:type="dxa"/>
            <w:bottom w:w="0" w:type="dxa"/>
            <w:right w:w="108" w:type="dxa"/>
          </w:tblCellMar>
        </w:tblPrEx>
        <w:trPr>
          <w:trHeight w:val="317" w:hRule="atLeast"/>
        </w:trPr>
        <w:tc>
          <w:tcPr>
            <w:tcW w:w="70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5544"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4、是否制订各类验收标准、记录，编制维保计划并明确审批程序、实施流程，并严格执行</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r>
              <w:rPr>
                <w:rFonts w:ascii="宋体" w:hAnsi="宋体"/>
                <w:color w:val="auto"/>
                <w:kern w:val="0"/>
                <w:sz w:val="20"/>
                <w:szCs w:val="20"/>
                <w:highlight w:val="none"/>
              </w:rPr>
              <w:t>　</w:t>
            </w:r>
          </w:p>
        </w:tc>
      </w:tr>
      <w:tr>
        <w:tblPrEx>
          <w:tblLayout w:type="fixed"/>
          <w:tblCellMar>
            <w:top w:w="0" w:type="dxa"/>
            <w:left w:w="108" w:type="dxa"/>
            <w:bottom w:w="0" w:type="dxa"/>
            <w:right w:w="108" w:type="dxa"/>
          </w:tblCellMar>
        </w:tblPrEx>
        <w:trPr>
          <w:trHeight w:val="317" w:hRule="atLeast"/>
        </w:trPr>
        <w:tc>
          <w:tcPr>
            <w:tcW w:w="7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78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554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kern w:val="0"/>
                <w:sz w:val="20"/>
                <w:szCs w:val="20"/>
                <w:highlight w:val="none"/>
              </w:rPr>
            </w:pPr>
            <w:r>
              <w:rPr>
                <w:rFonts w:ascii="宋体" w:hAnsi="宋体"/>
                <w:color w:val="auto"/>
                <w:kern w:val="0"/>
                <w:sz w:val="20"/>
                <w:szCs w:val="20"/>
                <w:highlight w:val="none"/>
              </w:rPr>
              <w:t>5</w:t>
            </w:r>
            <w:r>
              <w:rPr>
                <w:rFonts w:hint="eastAsia" w:ascii="宋体" w:hAnsi="宋体"/>
                <w:color w:val="auto"/>
                <w:kern w:val="0"/>
                <w:sz w:val="20"/>
                <w:szCs w:val="20"/>
                <w:highlight w:val="none"/>
              </w:rPr>
              <w:t>、各项制度制定的合理性、全面性及落实情况；</w:t>
            </w:r>
          </w:p>
        </w:tc>
        <w:tc>
          <w:tcPr>
            <w:tcW w:w="282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s="宋体"/>
                <w:snapToGrid w:val="0"/>
                <w:color w:val="auto"/>
                <w:spacing w:val="-8"/>
                <w:kern w:val="0"/>
                <w:sz w:val="20"/>
                <w:szCs w:val="20"/>
                <w:highlight w:val="none"/>
              </w:rPr>
              <w:t>不满足一项扣0.5分</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r>
              <w:rPr>
                <w:rFonts w:ascii="宋体" w:hAnsi="宋体"/>
                <w:color w:val="auto"/>
                <w:kern w:val="0"/>
                <w:sz w:val="20"/>
                <w:szCs w:val="20"/>
                <w:highlight w:val="none"/>
              </w:rPr>
              <w:t>　</w:t>
            </w:r>
          </w:p>
        </w:tc>
      </w:tr>
      <w:tr>
        <w:tblPrEx>
          <w:tblLayout w:type="fixed"/>
          <w:tblCellMar>
            <w:top w:w="0" w:type="dxa"/>
            <w:left w:w="108" w:type="dxa"/>
            <w:bottom w:w="0" w:type="dxa"/>
            <w:right w:w="108" w:type="dxa"/>
          </w:tblCellMar>
        </w:tblPrEx>
        <w:trPr>
          <w:trHeight w:val="317" w:hRule="atLeast"/>
        </w:trPr>
        <w:tc>
          <w:tcPr>
            <w:tcW w:w="7035" w:type="dxa"/>
            <w:gridSpan w:val="3"/>
            <w:tcBorders>
              <w:top w:val="nil"/>
              <w:left w:val="single" w:color="auto" w:sz="4" w:space="0"/>
              <w:bottom w:val="single" w:color="auto" w:sz="4" w:space="0"/>
              <w:right w:val="single" w:color="auto" w:sz="4" w:space="0"/>
            </w:tcBorders>
            <w:vAlign w:val="center"/>
          </w:tcPr>
          <w:p>
            <w:pPr>
              <w:widowControl/>
              <w:rPr>
                <w:rFonts w:ascii="宋体" w:hAnsi="宋体"/>
                <w:color w:val="auto"/>
                <w:kern w:val="0"/>
                <w:sz w:val="22"/>
                <w:szCs w:val="22"/>
                <w:highlight w:val="none"/>
              </w:rPr>
            </w:pPr>
            <w:r>
              <w:rPr>
                <w:rFonts w:hint="eastAsia" w:ascii="宋体" w:hAnsi="宋体"/>
                <w:color w:val="auto"/>
                <w:kern w:val="0"/>
                <w:sz w:val="22"/>
                <w:szCs w:val="22"/>
                <w:highlight w:val="none"/>
              </w:rPr>
              <w:t>合         计</w:t>
            </w:r>
          </w:p>
        </w:tc>
        <w:tc>
          <w:tcPr>
            <w:tcW w:w="2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p>
        </w:tc>
        <w:tc>
          <w:tcPr>
            <w:tcW w:w="141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 w:val="20"/>
                <w:szCs w:val="20"/>
                <w:highlight w:val="none"/>
              </w:rPr>
            </w:pPr>
            <w:r>
              <w:rPr>
                <w:rFonts w:hint="eastAsia" w:ascii="宋体" w:hAnsi="宋体"/>
                <w:color w:val="auto"/>
                <w:kern w:val="0"/>
                <w:sz w:val="20"/>
                <w:szCs w:val="20"/>
                <w:highlight w:val="none"/>
              </w:rPr>
              <w:t>100</w:t>
            </w:r>
          </w:p>
        </w:tc>
      </w:tr>
    </w:tbl>
    <w:p>
      <w:pPr>
        <w:spacing w:line="440" w:lineRule="exact"/>
        <w:rPr>
          <w:rFonts w:ascii="宋体" w:hAnsi="宋体" w:cs="宋体"/>
          <w:bCs/>
          <w:color w:val="auto"/>
          <w:sz w:val="22"/>
          <w:szCs w:val="22"/>
          <w:highlight w:val="none"/>
        </w:rPr>
      </w:pPr>
    </w:p>
    <w:p>
      <w:pPr>
        <w:pStyle w:val="9"/>
        <w:ind w:firstLine="210"/>
        <w:rPr>
          <w:rFonts w:ascii="宋体" w:hAnsi="宋体"/>
          <w:color w:val="auto"/>
          <w:highlight w:val="none"/>
        </w:rPr>
      </w:pPr>
    </w:p>
    <w:p>
      <w:pPr>
        <w:pStyle w:val="9"/>
        <w:ind w:firstLine="210"/>
        <w:rPr>
          <w:rFonts w:ascii="宋体" w:hAnsi="宋体"/>
          <w:color w:val="auto"/>
          <w:highlight w:val="none"/>
        </w:rPr>
        <w:sectPr>
          <w:footerReference r:id="rId6" w:type="default"/>
          <w:pgSz w:w="11910" w:h="16840"/>
          <w:pgMar w:top="1140" w:right="940" w:bottom="280" w:left="960" w:header="720" w:footer="720" w:gutter="0"/>
          <w:pgBorders>
            <w:top w:val="none" w:sz="0" w:space="0"/>
            <w:left w:val="none" w:sz="0" w:space="0"/>
            <w:bottom w:val="none" w:sz="0" w:space="0"/>
            <w:right w:val="none" w:sz="0" w:space="0"/>
          </w:pgBorders>
          <w:cols w:space="720" w:num="1"/>
          <w:docGrid w:linePitch="286" w:charSpace="0"/>
        </w:sectPr>
      </w:pPr>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第五部分   评标原则及方法</w:t>
      </w:r>
      <w:bookmarkEnd w:id="224"/>
      <w:bookmarkEnd w:id="225"/>
    </w:p>
    <w:p>
      <w:pPr>
        <w:pStyle w:val="10"/>
        <w:overflowPunct w:val="0"/>
        <w:spacing w:after="0" w:line="360" w:lineRule="auto"/>
        <w:rPr>
          <w:rFonts w:ascii="宋体" w:hAnsi="宋体" w:eastAsia="宋体" w:cs="宋体"/>
          <w:b/>
          <w:color w:val="auto"/>
          <w:sz w:val="22"/>
          <w:szCs w:val="22"/>
          <w:highlight w:val="none"/>
        </w:rPr>
      </w:pPr>
      <w:bookmarkStart w:id="226" w:name="_Toc221356898"/>
      <w:bookmarkStart w:id="227" w:name="_Toc221356961"/>
      <w:r>
        <w:rPr>
          <w:rFonts w:hint="eastAsia" w:ascii="宋体" w:hAnsi="宋体"/>
          <w:b/>
          <w:bCs/>
          <w:color w:val="auto"/>
          <w:sz w:val="22"/>
          <w:szCs w:val="22"/>
          <w:highlight w:val="none"/>
        </w:rPr>
        <w:t>根据《温州市市属国有企业采购管理办法（试行）》等相关法律、法规特制定以下评标办法。</w:t>
      </w:r>
    </w:p>
    <w:p>
      <w:pPr>
        <w:pStyle w:val="10"/>
        <w:overflowPunct w:val="0"/>
        <w:spacing w:after="0" w:line="360" w:lineRule="auto"/>
        <w:rPr>
          <w:rFonts w:ascii="宋体" w:hAnsi="宋体" w:eastAsia="宋体" w:cs="宋体"/>
          <w:b/>
          <w:color w:val="auto"/>
          <w:sz w:val="22"/>
          <w:szCs w:val="22"/>
          <w:highlight w:val="none"/>
        </w:rPr>
      </w:pPr>
      <w:r>
        <w:rPr>
          <w:rFonts w:hint="eastAsia" w:ascii="宋体" w:hAnsi="宋体" w:eastAsia="宋体" w:cs="宋体"/>
          <w:b/>
          <w:color w:val="auto"/>
          <w:sz w:val="22"/>
          <w:szCs w:val="22"/>
          <w:highlight w:val="none"/>
        </w:rPr>
        <w:t>一、总  则</w:t>
      </w:r>
      <w:bookmarkEnd w:id="226"/>
      <w:bookmarkEnd w:id="227"/>
    </w:p>
    <w:p>
      <w:pPr>
        <w:overflowPunct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评标工作遵循公平、公正、科学、择优原则和诚实、信誉、效率的服务原则。本着科学、严谨的态度，认真进行评标。择优选用，推进技术进步，确保项目服务质量、节约投资，最大限度的保护当事人权益，严格按照采购文件的商务、技术要求，对投标文件进行综合评定，提出优选方案，编写评标报告。对落标单位，评委会不作任何落标解释。投标人不得以任何方式干扰招投标工作的进行，一经发现其投标文件将被拒绝。</w:t>
      </w:r>
    </w:p>
    <w:p>
      <w:pPr>
        <w:pStyle w:val="10"/>
        <w:overflowPunct w:val="0"/>
        <w:spacing w:after="0" w:line="360" w:lineRule="auto"/>
        <w:rPr>
          <w:rFonts w:ascii="宋体" w:hAnsi="宋体" w:eastAsia="宋体" w:cs="宋体"/>
          <w:b/>
          <w:color w:val="auto"/>
          <w:sz w:val="22"/>
          <w:szCs w:val="22"/>
          <w:highlight w:val="none"/>
        </w:rPr>
      </w:pPr>
      <w:bookmarkStart w:id="228" w:name="_Toc221356899"/>
      <w:bookmarkStart w:id="229" w:name="_Toc221356962"/>
      <w:r>
        <w:rPr>
          <w:rFonts w:hint="eastAsia" w:ascii="宋体" w:hAnsi="宋体" w:eastAsia="宋体" w:cs="宋体"/>
          <w:b/>
          <w:color w:val="auto"/>
          <w:sz w:val="22"/>
          <w:szCs w:val="22"/>
          <w:highlight w:val="none"/>
        </w:rPr>
        <w:t>二、评标组织</w:t>
      </w:r>
      <w:bookmarkEnd w:id="228"/>
      <w:bookmarkEnd w:id="229"/>
    </w:p>
    <w:p>
      <w:pPr>
        <w:overflowPunct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评标工作由采购人依法组建的评标委员会负责，评标全过程由有关部门指导监督。</w:t>
      </w:r>
    </w:p>
    <w:p>
      <w:pPr>
        <w:pStyle w:val="10"/>
        <w:overflowPunct w:val="0"/>
        <w:spacing w:after="0" w:line="360" w:lineRule="auto"/>
        <w:rPr>
          <w:rFonts w:ascii="宋体" w:hAnsi="宋体" w:eastAsia="宋体" w:cs="宋体"/>
          <w:b/>
          <w:color w:val="auto"/>
          <w:sz w:val="22"/>
          <w:szCs w:val="22"/>
          <w:highlight w:val="none"/>
        </w:rPr>
      </w:pPr>
      <w:bookmarkStart w:id="230" w:name="_Toc221356900"/>
      <w:bookmarkStart w:id="231" w:name="_Toc221356963"/>
      <w:r>
        <w:rPr>
          <w:rFonts w:hint="eastAsia" w:ascii="宋体" w:hAnsi="宋体" w:eastAsia="宋体" w:cs="宋体"/>
          <w:b/>
          <w:color w:val="auto"/>
          <w:sz w:val="22"/>
          <w:szCs w:val="22"/>
          <w:highlight w:val="none"/>
        </w:rPr>
        <w:t>三、评标程序</w:t>
      </w:r>
      <w:bookmarkEnd w:id="230"/>
      <w:bookmarkEnd w:id="231"/>
    </w:p>
    <w:p>
      <w:pPr>
        <w:overflowPunct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开启各投标人的技术资信标和商务（报价）标，由评标委员会对各投标人的投标资格进行审查；然后对合格投标人的技术资信标进行评审；技术资信标评审结束后即公布投标人技术资信标得分情况；对商务（报价）标评审后，根据综合评审结果，提交评审报告。</w:t>
      </w:r>
    </w:p>
    <w:p>
      <w:pPr>
        <w:pStyle w:val="10"/>
        <w:overflowPunct w:val="0"/>
        <w:spacing w:after="0" w:line="360" w:lineRule="auto"/>
        <w:rPr>
          <w:rFonts w:ascii="宋体" w:hAnsi="宋体" w:eastAsia="宋体" w:cs="宋体"/>
          <w:b/>
          <w:color w:val="auto"/>
          <w:sz w:val="22"/>
          <w:szCs w:val="22"/>
          <w:highlight w:val="none"/>
        </w:rPr>
      </w:pPr>
      <w:bookmarkStart w:id="232" w:name="_Toc221356964"/>
      <w:bookmarkStart w:id="233" w:name="_Toc221356901"/>
      <w:r>
        <w:rPr>
          <w:rFonts w:hint="eastAsia" w:ascii="宋体" w:hAnsi="宋体" w:eastAsia="宋体" w:cs="宋体"/>
          <w:b/>
          <w:color w:val="auto"/>
          <w:sz w:val="22"/>
          <w:szCs w:val="22"/>
          <w:highlight w:val="none"/>
        </w:rPr>
        <w:t>四、评标办法</w:t>
      </w:r>
      <w:bookmarkEnd w:id="232"/>
      <w:bookmarkEnd w:id="233"/>
    </w:p>
    <w:p>
      <w:pPr>
        <w:overflowPunct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本次采购采用百分制综合评分法，即投标人最大限度地满足采购文件实质性要求的基础上，按照采购文件规定的各项因素进行综合评审后，以评审综合总得分最高的投标人作为中标候选人的评标方法。</w:t>
      </w:r>
      <w:r>
        <w:rPr>
          <w:rFonts w:ascii="宋体" w:hAnsi="宋体"/>
          <w:color w:val="auto"/>
          <w:sz w:val="22"/>
          <w:szCs w:val="22"/>
          <w:highlight w:val="none"/>
        </w:rPr>
        <w:t>根据</w:t>
      </w:r>
      <w:r>
        <w:rPr>
          <w:rFonts w:hint="eastAsia" w:ascii="宋体" w:hAnsi="宋体"/>
          <w:color w:val="auto"/>
          <w:sz w:val="22"/>
          <w:szCs w:val="22"/>
          <w:highlight w:val="none"/>
        </w:rPr>
        <w:t>采购</w:t>
      </w:r>
      <w:r>
        <w:rPr>
          <w:rFonts w:ascii="宋体" w:hAnsi="宋体"/>
          <w:color w:val="auto"/>
          <w:sz w:val="22"/>
          <w:szCs w:val="22"/>
          <w:highlight w:val="none"/>
        </w:rPr>
        <w:t>要求，总分设定为100分；其中技术资信标</w:t>
      </w:r>
      <w:r>
        <w:rPr>
          <w:rFonts w:hint="eastAsia" w:ascii="宋体" w:hAnsi="宋体"/>
          <w:color w:val="auto"/>
          <w:sz w:val="22"/>
          <w:szCs w:val="22"/>
          <w:highlight w:val="none"/>
        </w:rPr>
        <w:t>60</w:t>
      </w:r>
      <w:r>
        <w:rPr>
          <w:rFonts w:ascii="宋体" w:hAnsi="宋体"/>
          <w:color w:val="auto"/>
          <w:sz w:val="22"/>
          <w:szCs w:val="22"/>
          <w:highlight w:val="none"/>
        </w:rPr>
        <w:t>分（技术权值</w:t>
      </w:r>
      <w:r>
        <w:rPr>
          <w:rFonts w:hint="eastAsia" w:ascii="宋体" w:hAnsi="宋体"/>
          <w:color w:val="auto"/>
          <w:sz w:val="22"/>
          <w:szCs w:val="22"/>
          <w:highlight w:val="none"/>
        </w:rPr>
        <w:t>60</w:t>
      </w:r>
      <w:r>
        <w:rPr>
          <w:rFonts w:ascii="宋体" w:hAnsi="宋体"/>
          <w:color w:val="auto"/>
          <w:sz w:val="22"/>
          <w:szCs w:val="22"/>
          <w:highlight w:val="none"/>
        </w:rPr>
        <w:t>%），商务标（报价）</w:t>
      </w:r>
      <w:r>
        <w:rPr>
          <w:rFonts w:hint="eastAsia" w:ascii="宋体" w:hAnsi="宋体"/>
          <w:color w:val="auto"/>
          <w:sz w:val="22"/>
          <w:szCs w:val="22"/>
          <w:highlight w:val="none"/>
        </w:rPr>
        <w:t>40</w:t>
      </w:r>
      <w:r>
        <w:rPr>
          <w:rFonts w:ascii="宋体" w:hAnsi="宋体"/>
          <w:color w:val="auto"/>
          <w:sz w:val="22"/>
          <w:szCs w:val="22"/>
          <w:highlight w:val="none"/>
        </w:rPr>
        <w:t>分（价格权值</w:t>
      </w:r>
      <w:r>
        <w:rPr>
          <w:rFonts w:hint="eastAsia" w:ascii="宋体" w:hAnsi="宋体"/>
          <w:color w:val="auto"/>
          <w:sz w:val="22"/>
          <w:szCs w:val="22"/>
          <w:highlight w:val="none"/>
        </w:rPr>
        <w:t>40</w:t>
      </w:r>
      <w:r>
        <w:rPr>
          <w:rFonts w:ascii="宋体" w:hAnsi="宋体"/>
          <w:color w:val="auto"/>
          <w:sz w:val="22"/>
          <w:szCs w:val="22"/>
          <w:highlight w:val="none"/>
        </w:rPr>
        <w:t>%）。</w:t>
      </w:r>
    </w:p>
    <w:p>
      <w:pPr>
        <w:pStyle w:val="10"/>
        <w:numPr>
          <w:ilvl w:val="0"/>
          <w:numId w:val="14"/>
        </w:numPr>
        <w:overflowPunct w:val="0"/>
        <w:spacing w:after="0" w:line="360" w:lineRule="auto"/>
        <w:rPr>
          <w:color w:val="auto"/>
          <w:highlight w:val="none"/>
        </w:rPr>
      </w:pPr>
      <w:r>
        <w:rPr>
          <w:rFonts w:hint="eastAsia" w:ascii="宋体" w:hAnsi="宋体" w:eastAsia="宋体" w:cs="宋体"/>
          <w:b/>
          <w:color w:val="auto"/>
          <w:sz w:val="22"/>
          <w:szCs w:val="22"/>
          <w:highlight w:val="none"/>
        </w:rPr>
        <w:t>评分细则</w:t>
      </w:r>
    </w:p>
    <w:p>
      <w:pPr>
        <w:overflowPunct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1、技术资信部分的评定（60分）</w:t>
      </w:r>
    </w:p>
    <w:p>
      <w:pPr>
        <w:pStyle w:val="22"/>
        <w:spacing w:before="0" w:after="0" w:line="360" w:lineRule="auto"/>
        <w:ind w:firstLine="440" w:firstLineChars="200"/>
        <w:jc w:val="both"/>
        <w:rPr>
          <w:rFonts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各评委成员按下列评分项目进行评定，每人一张评分计算表，由评标委员会成员各自评定打分并记实名。如任何一张表的一项评分内容分值超过规定的范围，则该张表无效。各评标委员会成员对各投标人的各项评分内容进行评审、独立打分，所有评委成员的评分算术平均值为该投标人技术资信部分的最终得分（四舍五入，保留小数点后二位）。</w:t>
      </w:r>
    </w:p>
    <w:tbl>
      <w:tblPr>
        <w:tblStyle w:val="27"/>
        <w:tblW w:w="953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0"/>
        <w:gridCol w:w="897"/>
        <w:gridCol w:w="1890"/>
        <w:gridCol w:w="1035"/>
        <w:gridCol w:w="50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00" w:type="dxa"/>
            <w:vAlign w:val="center"/>
          </w:tcPr>
          <w:p>
            <w:pPr>
              <w:spacing w:line="400" w:lineRule="exact"/>
              <w:jc w:val="center"/>
              <w:rPr>
                <w:rFonts w:ascii="宋体" w:hAnsi="宋体" w:cs="Arial"/>
                <w:color w:val="auto"/>
                <w:highlight w:val="none"/>
              </w:rPr>
            </w:pPr>
            <w:r>
              <w:rPr>
                <w:rFonts w:hint="eastAsia" w:ascii="宋体" w:hAnsi="宋体" w:cs="Arial"/>
                <w:color w:val="auto"/>
                <w:highlight w:val="none"/>
              </w:rPr>
              <w:t>序号</w:t>
            </w:r>
          </w:p>
        </w:tc>
        <w:tc>
          <w:tcPr>
            <w:tcW w:w="2787" w:type="dxa"/>
            <w:gridSpan w:val="2"/>
            <w:vAlign w:val="center"/>
          </w:tcPr>
          <w:p>
            <w:pPr>
              <w:spacing w:line="400" w:lineRule="exact"/>
              <w:jc w:val="center"/>
              <w:rPr>
                <w:rFonts w:ascii="宋体" w:hAnsi="宋体" w:cs="Arial"/>
                <w:color w:val="auto"/>
                <w:highlight w:val="none"/>
              </w:rPr>
            </w:pPr>
            <w:r>
              <w:rPr>
                <w:rFonts w:hint="eastAsia" w:ascii="宋体" w:hAnsi="宋体" w:cs="Arial"/>
                <w:color w:val="auto"/>
                <w:highlight w:val="none"/>
              </w:rPr>
              <w:t>评分内容</w:t>
            </w:r>
          </w:p>
        </w:tc>
        <w:tc>
          <w:tcPr>
            <w:tcW w:w="1035" w:type="dxa"/>
            <w:vAlign w:val="center"/>
          </w:tcPr>
          <w:p>
            <w:pPr>
              <w:spacing w:line="400" w:lineRule="exact"/>
              <w:jc w:val="center"/>
              <w:rPr>
                <w:rFonts w:ascii="宋体" w:hAnsi="宋体" w:cs="Arial"/>
                <w:color w:val="auto"/>
                <w:highlight w:val="none"/>
              </w:rPr>
            </w:pPr>
            <w:r>
              <w:rPr>
                <w:rFonts w:hint="eastAsia" w:ascii="宋体" w:hAnsi="宋体" w:cs="Arial"/>
                <w:color w:val="auto"/>
                <w:highlight w:val="none"/>
              </w:rPr>
              <w:t>分值</w:t>
            </w:r>
          </w:p>
        </w:tc>
        <w:tc>
          <w:tcPr>
            <w:tcW w:w="5015" w:type="dxa"/>
            <w:vAlign w:val="center"/>
          </w:tcPr>
          <w:p>
            <w:pPr>
              <w:spacing w:line="300" w:lineRule="exact"/>
              <w:jc w:val="center"/>
              <w:rPr>
                <w:rFonts w:ascii="宋体" w:hAnsi="宋体" w:cs="Arial"/>
                <w:color w:val="auto"/>
                <w:highlight w:val="none"/>
              </w:rPr>
            </w:pPr>
            <w:r>
              <w:rPr>
                <w:rFonts w:hint="eastAsia" w:ascii="宋体" w:hAnsi="宋体" w:cs="Arial"/>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700" w:type="dxa"/>
            <w:vMerge w:val="restart"/>
            <w:vAlign w:val="center"/>
          </w:tcPr>
          <w:p>
            <w:pPr>
              <w:spacing w:line="400" w:lineRule="exact"/>
              <w:jc w:val="center"/>
              <w:rPr>
                <w:rFonts w:ascii="宋体" w:hAnsi="宋体" w:cs="Arial"/>
                <w:color w:val="auto"/>
                <w:highlight w:val="none"/>
              </w:rPr>
            </w:pPr>
            <w:r>
              <w:rPr>
                <w:rFonts w:hint="eastAsia" w:ascii="宋体" w:hAnsi="宋体" w:cs="Arial"/>
                <w:color w:val="auto"/>
                <w:highlight w:val="none"/>
              </w:rPr>
              <w:t>1</w:t>
            </w:r>
          </w:p>
        </w:tc>
        <w:tc>
          <w:tcPr>
            <w:tcW w:w="2787" w:type="dxa"/>
            <w:gridSpan w:val="2"/>
            <w:vMerge w:val="restart"/>
            <w:vAlign w:val="center"/>
          </w:tcPr>
          <w:p>
            <w:pPr>
              <w:spacing w:line="400" w:lineRule="exact"/>
              <w:jc w:val="center"/>
              <w:rPr>
                <w:rFonts w:ascii="宋体" w:hAnsi="宋体" w:cs="Arial"/>
                <w:color w:val="auto"/>
                <w:highlight w:val="none"/>
              </w:rPr>
            </w:pPr>
            <w:r>
              <w:rPr>
                <w:rFonts w:ascii="宋体" w:hAnsi="宋体" w:cs="Arial"/>
                <w:color w:val="auto"/>
                <w:sz w:val="22"/>
                <w:highlight w:val="none"/>
              </w:rPr>
              <w:t>投标</w:t>
            </w:r>
            <w:r>
              <w:rPr>
                <w:rFonts w:hint="eastAsia" w:ascii="宋体" w:hAnsi="宋体" w:cs="Arial"/>
                <w:color w:val="auto"/>
                <w:sz w:val="22"/>
                <w:highlight w:val="none"/>
              </w:rPr>
              <w:t>人</w:t>
            </w:r>
            <w:r>
              <w:rPr>
                <w:rFonts w:ascii="宋体" w:hAnsi="宋体" w:cs="Arial"/>
                <w:color w:val="auto"/>
                <w:sz w:val="22"/>
                <w:highlight w:val="none"/>
              </w:rPr>
              <w:t>综合实力</w:t>
            </w:r>
          </w:p>
        </w:tc>
        <w:tc>
          <w:tcPr>
            <w:tcW w:w="1035" w:type="dxa"/>
            <w:vMerge w:val="restart"/>
            <w:vAlign w:val="center"/>
          </w:tcPr>
          <w:p>
            <w:pPr>
              <w:spacing w:line="400" w:lineRule="exact"/>
              <w:jc w:val="center"/>
              <w:rPr>
                <w:rFonts w:ascii="宋体" w:hAnsi="宋体" w:cs="Arial"/>
                <w:color w:val="auto"/>
                <w:highlight w:val="none"/>
              </w:rPr>
            </w:pPr>
            <w:r>
              <w:rPr>
                <w:rFonts w:hint="eastAsia" w:ascii="宋体" w:hAnsi="宋体" w:cs="Arial"/>
                <w:color w:val="auto"/>
                <w:highlight w:val="none"/>
              </w:rPr>
              <w:t>0-8分</w:t>
            </w:r>
          </w:p>
        </w:tc>
        <w:tc>
          <w:tcPr>
            <w:tcW w:w="5015" w:type="dxa"/>
            <w:tcBorders>
              <w:bottom w:val="single" w:color="000000" w:sz="4" w:space="0"/>
            </w:tcBorders>
            <w:vAlign w:val="center"/>
          </w:tcPr>
          <w:p>
            <w:pPr>
              <w:numPr>
                <w:ilvl w:val="0"/>
                <w:numId w:val="15"/>
              </w:numPr>
              <w:adjustRightInd w:val="0"/>
              <w:snapToGrid w:val="0"/>
              <w:jc w:val="left"/>
              <w:rPr>
                <w:rFonts w:ascii="宋体" w:hAnsi="宋体" w:cs="宋体"/>
                <w:color w:val="auto"/>
                <w:szCs w:val="21"/>
                <w:highlight w:val="none"/>
              </w:rPr>
            </w:pPr>
            <w:r>
              <w:rPr>
                <w:rFonts w:hint="eastAsia" w:ascii="宋体" w:hAnsi="宋体" w:cs="宋体"/>
                <w:color w:val="auto"/>
                <w:szCs w:val="21"/>
                <w:highlight w:val="none"/>
              </w:rPr>
              <w:t>根据投标人的企业资质、行业信誉、行业实力等情况，由评委综合打分。（0-5分）</w:t>
            </w:r>
          </w:p>
          <w:p>
            <w:pPr>
              <w:spacing w:line="300" w:lineRule="exact"/>
              <w:jc w:val="left"/>
              <w:rPr>
                <w:rFonts w:ascii="宋体" w:hAnsi="宋体" w:cs="Arial"/>
                <w:color w:val="auto"/>
                <w:highlight w:val="none"/>
              </w:rPr>
            </w:pPr>
            <w:r>
              <w:rPr>
                <w:rFonts w:hint="eastAsia" w:ascii="宋体" w:hAnsi="宋体"/>
                <w:snapToGrid w:val="0"/>
                <w:color w:val="auto"/>
                <w:highlight w:val="none"/>
              </w:rPr>
              <w:t>A档5-3.3分，B档3.2-1.6分，C档1.5-0分。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0" w:type="dxa"/>
            <w:vMerge w:val="continue"/>
            <w:vAlign w:val="center"/>
          </w:tcPr>
          <w:p>
            <w:pPr>
              <w:spacing w:line="400" w:lineRule="exact"/>
              <w:jc w:val="center"/>
              <w:rPr>
                <w:rFonts w:ascii="宋体" w:hAnsi="宋体" w:cs="Arial"/>
                <w:color w:val="auto"/>
                <w:highlight w:val="none"/>
              </w:rPr>
            </w:pPr>
          </w:p>
        </w:tc>
        <w:tc>
          <w:tcPr>
            <w:tcW w:w="2787" w:type="dxa"/>
            <w:gridSpan w:val="2"/>
            <w:vMerge w:val="continue"/>
            <w:vAlign w:val="center"/>
          </w:tcPr>
          <w:p>
            <w:pPr>
              <w:spacing w:line="400" w:lineRule="exact"/>
              <w:jc w:val="center"/>
              <w:rPr>
                <w:rFonts w:ascii="宋体" w:hAnsi="宋体" w:cs="Arial"/>
                <w:color w:val="auto"/>
                <w:sz w:val="22"/>
                <w:highlight w:val="none"/>
              </w:rPr>
            </w:pPr>
          </w:p>
        </w:tc>
        <w:tc>
          <w:tcPr>
            <w:tcW w:w="1035" w:type="dxa"/>
            <w:vMerge w:val="continue"/>
            <w:vAlign w:val="center"/>
          </w:tcPr>
          <w:p>
            <w:pPr>
              <w:spacing w:line="400" w:lineRule="exact"/>
              <w:jc w:val="center"/>
              <w:rPr>
                <w:rFonts w:ascii="宋体" w:hAnsi="宋体" w:cs="Arial"/>
                <w:color w:val="auto"/>
                <w:highlight w:val="none"/>
              </w:rPr>
            </w:pPr>
          </w:p>
        </w:tc>
        <w:tc>
          <w:tcPr>
            <w:tcW w:w="5015" w:type="dxa"/>
            <w:tcBorders>
              <w:top w:val="single" w:color="000000" w:sz="4" w:space="0"/>
            </w:tcBorders>
            <w:vAlign w:val="center"/>
          </w:tcPr>
          <w:p>
            <w:pPr>
              <w:numPr>
                <w:ilvl w:val="0"/>
                <w:numId w:val="15"/>
              </w:numPr>
              <w:spacing w:line="300" w:lineRule="exact"/>
              <w:jc w:val="left"/>
              <w:rPr>
                <w:color w:val="auto"/>
                <w:highlight w:val="none"/>
              </w:rPr>
            </w:pPr>
            <w:r>
              <w:rPr>
                <w:rFonts w:hint="eastAsia"/>
                <w:color w:val="auto"/>
                <w:highlight w:val="none"/>
              </w:rPr>
              <w:t>投标人2018年1月1日以来获省级及以上的荣誉的每项得1分，市级荣誉的每项得0.5分，本项最高得3分。</w:t>
            </w:r>
          </w:p>
          <w:p>
            <w:pPr>
              <w:pStyle w:val="9"/>
              <w:ind w:firstLine="0" w:firstLineChars="0"/>
              <w:rPr>
                <w:color w:val="auto"/>
                <w:highlight w:val="none"/>
              </w:rPr>
            </w:pPr>
            <w:r>
              <w:rPr>
                <w:rFonts w:hint="eastAsia"/>
                <w:color w:val="auto"/>
                <w:highlight w:val="none"/>
              </w:rPr>
              <w:t>注：须提供荣誉证书复印件加盖公章，否则不得分。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00" w:type="dxa"/>
            <w:vAlign w:val="center"/>
          </w:tcPr>
          <w:p>
            <w:pPr>
              <w:spacing w:line="400" w:lineRule="exact"/>
              <w:jc w:val="center"/>
              <w:rPr>
                <w:rFonts w:ascii="宋体" w:hAnsi="宋体" w:cs="Arial"/>
                <w:color w:val="auto"/>
                <w:highlight w:val="none"/>
              </w:rPr>
            </w:pPr>
            <w:r>
              <w:rPr>
                <w:rFonts w:hint="eastAsia" w:ascii="宋体" w:hAnsi="宋体" w:cs="Arial"/>
                <w:color w:val="auto"/>
                <w:highlight w:val="none"/>
              </w:rPr>
              <w:t>2</w:t>
            </w:r>
          </w:p>
        </w:tc>
        <w:tc>
          <w:tcPr>
            <w:tcW w:w="2787" w:type="dxa"/>
            <w:gridSpan w:val="2"/>
            <w:vAlign w:val="center"/>
          </w:tcPr>
          <w:p>
            <w:pPr>
              <w:spacing w:line="400" w:lineRule="exact"/>
              <w:jc w:val="center"/>
              <w:rPr>
                <w:rFonts w:ascii="宋体" w:hAnsi="宋体" w:cs="Arial"/>
                <w:color w:val="auto"/>
                <w:highlight w:val="none"/>
              </w:rPr>
            </w:pPr>
            <w:r>
              <w:rPr>
                <w:rFonts w:ascii="宋体" w:hAnsi="宋体" w:cs="Arial"/>
                <w:color w:val="auto"/>
                <w:highlight w:val="none"/>
              </w:rPr>
              <w:t>类似项目业绩</w:t>
            </w:r>
          </w:p>
        </w:tc>
        <w:tc>
          <w:tcPr>
            <w:tcW w:w="1035" w:type="dxa"/>
            <w:vAlign w:val="center"/>
          </w:tcPr>
          <w:p>
            <w:pPr>
              <w:spacing w:line="400" w:lineRule="exact"/>
              <w:jc w:val="center"/>
              <w:rPr>
                <w:rFonts w:ascii="宋体" w:hAnsi="宋体" w:cs="Arial"/>
                <w:color w:val="auto"/>
                <w:highlight w:val="none"/>
              </w:rPr>
            </w:pPr>
            <w:r>
              <w:rPr>
                <w:rFonts w:hint="eastAsia" w:ascii="宋体" w:hAnsi="宋体" w:cs="Arial"/>
                <w:color w:val="auto"/>
                <w:highlight w:val="none"/>
              </w:rPr>
              <w:t>0-6</w:t>
            </w:r>
            <w:r>
              <w:rPr>
                <w:rFonts w:ascii="宋体" w:hAnsi="宋体" w:cs="Arial"/>
                <w:color w:val="auto"/>
                <w:highlight w:val="none"/>
              </w:rPr>
              <w:t>分</w:t>
            </w:r>
          </w:p>
        </w:tc>
        <w:tc>
          <w:tcPr>
            <w:tcW w:w="5015" w:type="dxa"/>
            <w:vAlign w:val="center"/>
          </w:tcPr>
          <w:p>
            <w:pPr>
              <w:spacing w:line="300" w:lineRule="exact"/>
              <w:jc w:val="left"/>
              <w:rPr>
                <w:rFonts w:ascii="宋体" w:hAnsi="宋体" w:cs="Arial"/>
                <w:color w:val="auto"/>
                <w:highlight w:val="none"/>
              </w:rPr>
            </w:pPr>
            <w:r>
              <w:rPr>
                <w:rFonts w:hint="eastAsia" w:ascii="宋体" w:hAnsi="宋体" w:cs="Arial"/>
                <w:color w:val="auto"/>
                <w:highlight w:val="none"/>
              </w:rPr>
              <w:t>投标人2018年1月1日以来承揽过的类似安保服务项目业绩，每提供一个有效业绩得1分，最高得6分。</w:t>
            </w:r>
          </w:p>
          <w:p>
            <w:pPr>
              <w:spacing w:line="300" w:lineRule="exact"/>
              <w:rPr>
                <w:rFonts w:ascii="宋体" w:hAnsi="宋体" w:cs="Arial"/>
                <w:color w:val="auto"/>
                <w:highlight w:val="none"/>
              </w:rPr>
            </w:pPr>
            <w:r>
              <w:rPr>
                <w:rFonts w:hint="eastAsia" w:ascii="宋体" w:hAnsi="宋体" w:cs="Arial"/>
                <w:color w:val="auto"/>
                <w:highlight w:val="none"/>
              </w:rPr>
              <w:t>注：须</w:t>
            </w:r>
            <w:r>
              <w:rPr>
                <w:rFonts w:ascii="宋体" w:hAnsi="宋体" w:cs="Arial"/>
                <w:color w:val="auto"/>
                <w:highlight w:val="none"/>
              </w:rPr>
              <w:t>提供合同复印件加盖公章</w:t>
            </w:r>
            <w:r>
              <w:rPr>
                <w:rFonts w:hint="eastAsia" w:ascii="宋体" w:hAnsi="宋体" w:cs="Arial"/>
                <w:color w:val="auto"/>
                <w:highlight w:val="none"/>
              </w:rPr>
              <w:t>，否则不得分。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jc w:val="center"/>
        </w:trPr>
        <w:tc>
          <w:tcPr>
            <w:tcW w:w="700" w:type="dxa"/>
            <w:vAlign w:val="center"/>
          </w:tcPr>
          <w:p>
            <w:pPr>
              <w:spacing w:line="400" w:lineRule="exact"/>
              <w:jc w:val="center"/>
              <w:rPr>
                <w:rFonts w:ascii="宋体" w:hAnsi="宋体" w:cs="Arial"/>
                <w:color w:val="auto"/>
                <w:highlight w:val="none"/>
              </w:rPr>
            </w:pPr>
            <w:r>
              <w:rPr>
                <w:rFonts w:hint="eastAsia" w:ascii="宋体" w:hAnsi="宋体" w:cs="Arial"/>
                <w:color w:val="auto"/>
                <w:highlight w:val="none"/>
              </w:rPr>
              <w:t>3</w:t>
            </w:r>
          </w:p>
        </w:tc>
        <w:tc>
          <w:tcPr>
            <w:tcW w:w="2787" w:type="dxa"/>
            <w:gridSpan w:val="2"/>
            <w:vAlign w:val="center"/>
          </w:tcPr>
          <w:p>
            <w:pPr>
              <w:spacing w:line="400" w:lineRule="exact"/>
              <w:jc w:val="center"/>
              <w:rPr>
                <w:rFonts w:ascii="宋体" w:hAnsi="宋体" w:cs="Arial"/>
                <w:color w:val="auto"/>
                <w:highlight w:val="none"/>
              </w:rPr>
            </w:pPr>
            <w:r>
              <w:rPr>
                <w:rFonts w:hint="eastAsia" w:ascii="宋体" w:hAnsi="宋体" w:cs="Arial"/>
                <w:color w:val="auto"/>
                <w:highlight w:val="none"/>
              </w:rPr>
              <w:t>项目负责人</w:t>
            </w:r>
            <w:r>
              <w:rPr>
                <w:rFonts w:ascii="宋体" w:hAnsi="宋体" w:cs="Arial"/>
                <w:color w:val="auto"/>
                <w:highlight w:val="none"/>
              </w:rPr>
              <w:t>情况</w:t>
            </w:r>
          </w:p>
        </w:tc>
        <w:tc>
          <w:tcPr>
            <w:tcW w:w="1035" w:type="dxa"/>
            <w:vAlign w:val="center"/>
          </w:tcPr>
          <w:p>
            <w:pPr>
              <w:spacing w:line="400" w:lineRule="exact"/>
              <w:jc w:val="center"/>
              <w:rPr>
                <w:rFonts w:ascii="宋体" w:hAnsi="宋体" w:cs="Arial"/>
                <w:color w:val="auto"/>
                <w:highlight w:val="none"/>
              </w:rPr>
            </w:pPr>
            <w:r>
              <w:rPr>
                <w:rFonts w:hint="eastAsia" w:ascii="宋体" w:hAnsi="宋体" w:cs="Arial"/>
                <w:color w:val="auto"/>
                <w:highlight w:val="none"/>
              </w:rPr>
              <w:t>0-8分</w:t>
            </w:r>
          </w:p>
        </w:tc>
        <w:tc>
          <w:tcPr>
            <w:tcW w:w="5015" w:type="dxa"/>
            <w:vAlign w:val="center"/>
          </w:tcPr>
          <w:p>
            <w:pPr>
              <w:spacing w:line="300" w:lineRule="exact"/>
              <w:jc w:val="left"/>
              <w:rPr>
                <w:rFonts w:ascii="宋体" w:hAnsi="宋体" w:cs="宋体"/>
                <w:bCs/>
                <w:color w:val="auto"/>
                <w:szCs w:val="21"/>
                <w:highlight w:val="none"/>
              </w:rPr>
            </w:pPr>
            <w:r>
              <w:rPr>
                <w:rFonts w:hint="eastAsia" w:ascii="宋体" w:hAnsi="宋体" w:cs="宋体"/>
                <w:bCs/>
                <w:snapToGrid w:val="0"/>
                <w:color w:val="auto"/>
                <w:kern w:val="0"/>
                <w:szCs w:val="21"/>
                <w:highlight w:val="none"/>
              </w:rPr>
              <w:t>1、项目负责人具有高级保安员证书（三级）得1分，保安师证书（二级）得2分，高级保安师证书（一级）得3分，</w:t>
            </w:r>
            <w:r>
              <w:rPr>
                <w:rFonts w:hint="eastAsia" w:ascii="宋体" w:hAnsi="宋体" w:cs="宋体"/>
                <w:bCs/>
                <w:color w:val="auto"/>
                <w:szCs w:val="21"/>
                <w:highlight w:val="none"/>
              </w:rPr>
              <w:t>最高得3分。</w:t>
            </w:r>
          </w:p>
          <w:p>
            <w:pPr>
              <w:spacing w:line="300" w:lineRule="exact"/>
              <w:jc w:val="left"/>
              <w:rPr>
                <w:rFonts w:ascii="宋体" w:hAnsi="宋体" w:cs="宋体"/>
                <w:bCs/>
                <w:snapToGrid w:val="0"/>
                <w:color w:val="auto"/>
                <w:kern w:val="0"/>
                <w:szCs w:val="21"/>
                <w:highlight w:val="none"/>
              </w:rPr>
            </w:pPr>
            <w:r>
              <w:rPr>
                <w:rFonts w:hint="eastAsia" w:ascii="宋体" w:hAnsi="宋体" w:cs="宋体"/>
                <w:bCs/>
                <w:snapToGrid w:val="0"/>
                <w:color w:val="auto"/>
                <w:kern w:val="0"/>
                <w:sz w:val="22"/>
                <w:szCs w:val="22"/>
                <w:highlight w:val="none"/>
              </w:rPr>
              <w:t>2、项目负责人</w:t>
            </w:r>
            <w:r>
              <w:rPr>
                <w:rFonts w:hint="eastAsia" w:ascii="宋体" w:hAnsi="宋体" w:cs="宋体"/>
                <w:bCs/>
                <w:color w:val="auto"/>
                <w:sz w:val="22"/>
                <w:highlight w:val="none"/>
              </w:rPr>
              <w:t>2018年以来获得省级及以上公安机关颁发的荣誉得3分，市级公安机关颁发的荣誉得1分，最高得3分。</w:t>
            </w:r>
          </w:p>
          <w:p>
            <w:pPr>
              <w:jc w:val="left"/>
              <w:rPr>
                <w:rFonts w:ascii="宋体" w:hAnsi="宋体" w:cs="宋体"/>
                <w:bCs/>
                <w:snapToGrid w:val="0"/>
                <w:color w:val="auto"/>
                <w:kern w:val="0"/>
                <w:szCs w:val="21"/>
                <w:highlight w:val="none"/>
              </w:rPr>
            </w:pPr>
            <w:r>
              <w:rPr>
                <w:rFonts w:hint="eastAsia" w:ascii="宋体" w:hAnsi="宋体" w:cs="宋体"/>
                <w:bCs/>
                <w:color w:val="auto"/>
                <w:sz w:val="22"/>
                <w:szCs w:val="22"/>
                <w:highlight w:val="none"/>
              </w:rPr>
              <w:t>3、</w:t>
            </w:r>
            <w:r>
              <w:rPr>
                <w:rFonts w:hint="eastAsia" w:ascii="宋体" w:hAnsi="宋体" w:cs="宋体"/>
                <w:bCs/>
                <w:color w:val="auto"/>
                <w:highlight w:val="none"/>
              </w:rPr>
              <w:t>项目负责人具有本科及以上学历的得2分，大专学历的得1分，最高得2分。</w:t>
            </w:r>
          </w:p>
          <w:p>
            <w:pPr>
              <w:spacing w:line="300" w:lineRule="exact"/>
              <w:rPr>
                <w:rFonts w:ascii="宋体" w:hAnsi="宋体"/>
                <w:snapToGrid w:val="0"/>
                <w:color w:val="auto"/>
                <w:highlight w:val="none"/>
              </w:rPr>
            </w:pPr>
            <w:r>
              <w:rPr>
                <w:rFonts w:hint="eastAsia" w:ascii="宋体" w:hAnsi="宋体" w:cs="宋体"/>
                <w:bCs/>
                <w:snapToGrid w:val="0"/>
                <w:color w:val="auto"/>
                <w:kern w:val="0"/>
                <w:szCs w:val="21"/>
                <w:highlight w:val="none"/>
              </w:rPr>
              <w:t>注：须提供相关学历、荣誉证书并</w:t>
            </w:r>
            <w:r>
              <w:rPr>
                <w:rFonts w:hint="eastAsia" w:ascii="宋体" w:hAnsi="宋体"/>
                <w:bCs/>
                <w:snapToGrid w:val="0"/>
                <w:color w:val="auto"/>
                <w:highlight w:val="none"/>
              </w:rPr>
              <w:t>提供人员保安证书及近半年内连续三个月的社保缴纳证明复印件加盖公章</w:t>
            </w:r>
            <w:r>
              <w:rPr>
                <w:rFonts w:hint="eastAsia" w:ascii="宋体" w:hAnsi="宋体" w:cs="Arial"/>
                <w:bCs/>
                <w:color w:val="auto"/>
                <w:highlight w:val="none"/>
              </w:rPr>
              <w:t>，否则不得分</w:t>
            </w:r>
            <w:r>
              <w:rPr>
                <w:rFonts w:hint="eastAsia" w:ascii="宋体" w:hAnsi="宋体"/>
                <w:bCs/>
                <w:snapToGrid w:val="0"/>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700" w:type="dxa"/>
            <w:vAlign w:val="center"/>
          </w:tcPr>
          <w:p>
            <w:pPr>
              <w:spacing w:line="400" w:lineRule="exact"/>
              <w:jc w:val="center"/>
              <w:rPr>
                <w:rFonts w:ascii="宋体" w:hAnsi="宋体" w:cs="Arial"/>
                <w:color w:val="auto"/>
                <w:highlight w:val="none"/>
              </w:rPr>
            </w:pPr>
            <w:r>
              <w:rPr>
                <w:rFonts w:hint="eastAsia" w:ascii="宋体" w:hAnsi="宋体" w:cs="Arial"/>
                <w:color w:val="auto"/>
                <w:highlight w:val="none"/>
              </w:rPr>
              <w:t>4</w:t>
            </w:r>
          </w:p>
        </w:tc>
        <w:tc>
          <w:tcPr>
            <w:tcW w:w="2787" w:type="dxa"/>
            <w:gridSpan w:val="2"/>
            <w:vAlign w:val="center"/>
          </w:tcPr>
          <w:p>
            <w:pPr>
              <w:spacing w:line="400" w:lineRule="exact"/>
              <w:jc w:val="center"/>
              <w:rPr>
                <w:rFonts w:ascii="宋体" w:hAnsi="宋体" w:cs="Arial"/>
                <w:color w:val="auto"/>
                <w:highlight w:val="none"/>
              </w:rPr>
            </w:pPr>
            <w:r>
              <w:rPr>
                <w:rFonts w:hint="eastAsia" w:ascii="宋体" w:hAnsi="宋体" w:cs="Arial"/>
                <w:color w:val="auto"/>
                <w:highlight w:val="none"/>
              </w:rPr>
              <w:t>人员配置及岗位设置</w:t>
            </w:r>
          </w:p>
        </w:tc>
        <w:tc>
          <w:tcPr>
            <w:tcW w:w="1035" w:type="dxa"/>
            <w:vAlign w:val="center"/>
          </w:tcPr>
          <w:p>
            <w:pPr>
              <w:spacing w:line="400" w:lineRule="exact"/>
              <w:jc w:val="center"/>
              <w:rPr>
                <w:rFonts w:ascii="宋体" w:hAnsi="宋体" w:cs="Arial"/>
                <w:color w:val="auto"/>
                <w:highlight w:val="none"/>
              </w:rPr>
            </w:pPr>
            <w:r>
              <w:rPr>
                <w:rFonts w:hint="eastAsia" w:ascii="宋体" w:hAnsi="宋体" w:cs="Arial"/>
                <w:color w:val="auto"/>
                <w:highlight w:val="none"/>
              </w:rPr>
              <w:t>0-12分</w:t>
            </w:r>
          </w:p>
        </w:tc>
        <w:tc>
          <w:tcPr>
            <w:tcW w:w="5015" w:type="dxa"/>
            <w:vAlign w:val="center"/>
          </w:tcPr>
          <w:p>
            <w:pPr>
              <w:widowControl/>
              <w:jc w:val="left"/>
              <w:textAlignment w:val="center"/>
              <w:rPr>
                <w:rFonts w:ascii="宋体" w:hAnsi="宋体" w:cs="宋体"/>
                <w:bCs/>
                <w:color w:val="auto"/>
                <w:szCs w:val="21"/>
                <w:highlight w:val="none"/>
              </w:rPr>
            </w:pPr>
            <w:r>
              <w:rPr>
                <w:rFonts w:hint="eastAsia" w:ascii="宋体" w:hAnsi="宋体"/>
                <w:snapToGrid w:val="0"/>
                <w:color w:val="auto"/>
                <w:highlight w:val="none"/>
              </w:rPr>
              <w:t>根据投标人的项目人员配备基本情况，岗位安排是否科学合理进行评分：</w:t>
            </w:r>
          </w:p>
          <w:p>
            <w:pPr>
              <w:widowControl/>
              <w:jc w:val="left"/>
              <w:textAlignment w:val="center"/>
              <w:rPr>
                <w:rFonts w:ascii="宋体" w:hAnsi="宋体" w:cs="宋体"/>
                <w:bCs/>
                <w:color w:val="auto"/>
                <w:kern w:val="0"/>
                <w:szCs w:val="21"/>
                <w:highlight w:val="none"/>
              </w:rPr>
            </w:pPr>
            <w:r>
              <w:rPr>
                <w:rFonts w:hint="eastAsia" w:ascii="宋体" w:hAnsi="宋体" w:cs="宋体"/>
                <w:bCs/>
                <w:color w:val="auto"/>
                <w:szCs w:val="21"/>
                <w:highlight w:val="none"/>
              </w:rPr>
              <w:t>1、投标人</w:t>
            </w:r>
            <w:r>
              <w:rPr>
                <w:rFonts w:hint="eastAsia" w:ascii="宋体" w:hAnsi="宋体" w:cs="宋体"/>
                <w:bCs/>
                <w:color w:val="auto"/>
                <w:kern w:val="0"/>
                <w:szCs w:val="21"/>
                <w:highlight w:val="none"/>
              </w:rPr>
              <w:t>拟投入本项目人员（</w:t>
            </w:r>
            <w:r>
              <w:rPr>
                <w:rFonts w:hint="eastAsia" w:ascii="宋体" w:hAnsi="宋体" w:cs="宋体"/>
                <w:color w:val="auto"/>
                <w:kern w:val="0"/>
                <w:sz w:val="22"/>
                <w:szCs w:val="22"/>
                <w:highlight w:val="none"/>
              </w:rPr>
              <w:t>12人数编制）</w:t>
            </w:r>
            <w:r>
              <w:rPr>
                <w:rFonts w:hint="eastAsia" w:ascii="宋体" w:hAnsi="宋体" w:cs="宋体"/>
                <w:bCs/>
                <w:color w:val="auto"/>
                <w:kern w:val="0"/>
                <w:szCs w:val="21"/>
                <w:highlight w:val="none"/>
              </w:rPr>
              <w:t>中具备高中及以上学历且取得保安员资格证的人员比例在90%及以上的得8分，75%及以上的得5分，60%以上的得最高得3分，低于60%的不得分；最高得8分。</w:t>
            </w:r>
          </w:p>
          <w:p>
            <w:pPr>
              <w:rPr>
                <w:rFonts w:ascii="宋体" w:hAnsi="宋体"/>
                <w:snapToGrid w:val="0"/>
                <w:color w:val="auto"/>
                <w:highlight w:val="none"/>
              </w:rPr>
            </w:pPr>
            <w:r>
              <w:rPr>
                <w:rFonts w:hint="eastAsia"/>
                <w:bCs/>
                <w:color w:val="auto"/>
                <w:kern w:val="0"/>
                <w:szCs w:val="21"/>
                <w:highlight w:val="none"/>
              </w:rPr>
              <w:t>2、</w:t>
            </w:r>
            <w:r>
              <w:rPr>
                <w:rFonts w:hint="eastAsia" w:ascii="宋体" w:hAnsi="宋体"/>
                <w:snapToGrid w:val="0"/>
                <w:color w:val="auto"/>
                <w:highlight w:val="none"/>
              </w:rPr>
              <w:t>人员和岗位设置情况（包括派驻专职队长、专职常驻人员总数、人员素质、岗位明细、每个岗位的工作总时间、加班安排、每个岗位的总人数、每人每天上班时间等）。</w:t>
            </w:r>
          </w:p>
          <w:p>
            <w:pPr>
              <w:rPr>
                <w:bCs/>
                <w:color w:val="auto"/>
                <w:kern w:val="0"/>
                <w:szCs w:val="21"/>
                <w:highlight w:val="none"/>
              </w:rPr>
            </w:pPr>
            <w:r>
              <w:rPr>
                <w:rFonts w:hint="eastAsia" w:ascii="宋体" w:hAnsi="宋体"/>
                <w:snapToGrid w:val="0"/>
                <w:color w:val="auto"/>
                <w:highlight w:val="none"/>
              </w:rPr>
              <w:t>A档4-2.6分，B档2.5-1.3分，C档1.2-0分。</w:t>
            </w:r>
          </w:p>
          <w:p>
            <w:pPr>
              <w:spacing w:line="300" w:lineRule="exact"/>
              <w:jc w:val="left"/>
              <w:rPr>
                <w:rFonts w:ascii="宋体" w:hAnsi="宋体" w:cs="宋体"/>
                <w:bCs/>
                <w:snapToGrid w:val="0"/>
                <w:color w:val="auto"/>
                <w:kern w:val="0"/>
                <w:szCs w:val="21"/>
                <w:highlight w:val="none"/>
              </w:rPr>
            </w:pPr>
            <w:r>
              <w:rPr>
                <w:rFonts w:hint="eastAsia"/>
                <w:bCs/>
                <w:color w:val="auto"/>
                <w:kern w:val="0"/>
                <w:szCs w:val="21"/>
                <w:highlight w:val="none"/>
              </w:rPr>
              <w:t>注：提供学历、资格证书、</w:t>
            </w:r>
            <w:r>
              <w:rPr>
                <w:rFonts w:hint="eastAsia" w:ascii="宋体" w:hAnsi="宋体"/>
                <w:bCs/>
                <w:snapToGrid w:val="0"/>
                <w:color w:val="auto"/>
                <w:highlight w:val="none"/>
              </w:rPr>
              <w:t>近半年内连续三个月的社保缴纳证明</w:t>
            </w:r>
            <w:r>
              <w:rPr>
                <w:rFonts w:hint="eastAsia"/>
                <w:bCs/>
                <w:color w:val="auto"/>
                <w:kern w:val="0"/>
                <w:szCs w:val="21"/>
                <w:highlight w:val="none"/>
              </w:rPr>
              <w:t>（复印件加盖公章，未提供不得分）。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700" w:type="dxa"/>
            <w:vMerge w:val="restart"/>
            <w:vAlign w:val="center"/>
          </w:tcPr>
          <w:p>
            <w:pPr>
              <w:jc w:val="center"/>
              <w:rPr>
                <w:rFonts w:ascii="宋体" w:hAnsi="宋体" w:cs="Arial"/>
                <w:color w:val="auto"/>
                <w:highlight w:val="none"/>
              </w:rPr>
            </w:pPr>
            <w:r>
              <w:rPr>
                <w:rFonts w:hint="eastAsia" w:ascii="宋体" w:hAnsi="宋体" w:cs="Arial"/>
                <w:color w:val="auto"/>
                <w:highlight w:val="none"/>
              </w:rPr>
              <w:t>5</w:t>
            </w:r>
          </w:p>
        </w:tc>
        <w:tc>
          <w:tcPr>
            <w:tcW w:w="897" w:type="dxa"/>
            <w:vMerge w:val="restart"/>
            <w:vAlign w:val="center"/>
          </w:tcPr>
          <w:p>
            <w:pPr>
              <w:rPr>
                <w:rFonts w:ascii="宋体" w:hAnsi="宋体" w:cs="Arial"/>
                <w:color w:val="auto"/>
                <w:highlight w:val="none"/>
              </w:rPr>
            </w:pPr>
            <w:r>
              <w:rPr>
                <w:rFonts w:hint="eastAsia" w:ascii="宋体" w:hAnsi="宋体" w:cs="Arial"/>
                <w:color w:val="auto"/>
                <w:highlight w:val="none"/>
              </w:rPr>
              <w:t>服务实施方案</w:t>
            </w:r>
          </w:p>
        </w:tc>
        <w:tc>
          <w:tcPr>
            <w:tcW w:w="1890" w:type="dxa"/>
            <w:vAlign w:val="center"/>
          </w:tcPr>
          <w:p>
            <w:pPr>
              <w:jc w:val="center"/>
              <w:rPr>
                <w:rFonts w:ascii="宋体" w:hAnsi="宋体" w:cs="Arial"/>
                <w:color w:val="auto"/>
                <w:highlight w:val="none"/>
              </w:rPr>
            </w:pPr>
            <w:r>
              <w:rPr>
                <w:rFonts w:hint="eastAsia" w:ascii="宋体" w:hAnsi="宋体" w:cs="Arial"/>
                <w:color w:val="auto"/>
                <w:kern w:val="0"/>
                <w:sz w:val="22"/>
                <w:szCs w:val="22"/>
                <w:highlight w:val="none"/>
              </w:rPr>
              <w:t>项目具体实施方案（质量、安全、服务及承诺等</w:t>
            </w:r>
          </w:p>
        </w:tc>
        <w:tc>
          <w:tcPr>
            <w:tcW w:w="1035" w:type="dxa"/>
            <w:vAlign w:val="center"/>
          </w:tcPr>
          <w:p>
            <w:pPr>
              <w:jc w:val="center"/>
              <w:rPr>
                <w:rFonts w:ascii="宋体" w:hAnsi="宋体" w:cs="Arial"/>
                <w:color w:val="auto"/>
                <w:highlight w:val="none"/>
              </w:rPr>
            </w:pPr>
            <w:r>
              <w:rPr>
                <w:rFonts w:hint="eastAsia" w:ascii="宋体" w:hAnsi="宋体" w:cs="Arial"/>
                <w:color w:val="auto"/>
                <w:highlight w:val="none"/>
              </w:rPr>
              <w:t>0-5分</w:t>
            </w:r>
          </w:p>
        </w:tc>
        <w:tc>
          <w:tcPr>
            <w:tcW w:w="5015" w:type="dxa"/>
            <w:vAlign w:val="center"/>
          </w:tcPr>
          <w:p>
            <w:pPr>
              <w:rPr>
                <w:rFonts w:ascii="宋体" w:hAnsi="宋体"/>
                <w:color w:val="auto"/>
                <w:kern w:val="0"/>
                <w:sz w:val="22"/>
                <w:szCs w:val="22"/>
                <w:highlight w:val="none"/>
              </w:rPr>
            </w:pPr>
            <w:r>
              <w:rPr>
                <w:rFonts w:hint="eastAsia" w:ascii="宋体" w:hAnsi="宋体"/>
                <w:color w:val="auto"/>
                <w:kern w:val="0"/>
                <w:sz w:val="22"/>
                <w:szCs w:val="22"/>
                <w:highlight w:val="none"/>
              </w:rPr>
              <w:t>根据实施方案科学性、合理性以及适合本项目的特性和针对性，由评标委员会横向比较酌情打分。</w:t>
            </w:r>
          </w:p>
          <w:p>
            <w:pPr>
              <w:rPr>
                <w:rFonts w:ascii="宋体" w:hAnsi="宋体"/>
                <w:snapToGrid w:val="0"/>
                <w:color w:val="auto"/>
                <w:highlight w:val="none"/>
              </w:rPr>
            </w:pPr>
            <w:r>
              <w:rPr>
                <w:rFonts w:hint="eastAsia" w:ascii="宋体" w:hAnsi="宋体"/>
                <w:snapToGrid w:val="0"/>
                <w:color w:val="auto"/>
                <w:highlight w:val="none"/>
              </w:rPr>
              <w:t>A档5-3.3分，B档3.2-1.6分，C档1.5-0分。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0" w:type="dxa"/>
            <w:vMerge w:val="continue"/>
            <w:vAlign w:val="center"/>
          </w:tcPr>
          <w:p>
            <w:pPr>
              <w:spacing w:line="400" w:lineRule="exact"/>
              <w:jc w:val="center"/>
              <w:rPr>
                <w:rFonts w:ascii="宋体" w:hAnsi="宋体" w:cs="Arial"/>
                <w:color w:val="auto"/>
                <w:highlight w:val="none"/>
              </w:rPr>
            </w:pPr>
          </w:p>
        </w:tc>
        <w:tc>
          <w:tcPr>
            <w:tcW w:w="897" w:type="dxa"/>
            <w:vMerge w:val="continue"/>
            <w:vAlign w:val="center"/>
          </w:tcPr>
          <w:p>
            <w:pPr>
              <w:spacing w:line="400" w:lineRule="exact"/>
              <w:rPr>
                <w:rFonts w:ascii="宋体" w:hAnsi="宋体" w:cs="Arial"/>
                <w:color w:val="auto"/>
                <w:highlight w:val="none"/>
              </w:rPr>
            </w:pPr>
          </w:p>
        </w:tc>
        <w:tc>
          <w:tcPr>
            <w:tcW w:w="1890" w:type="dxa"/>
            <w:vAlign w:val="center"/>
          </w:tcPr>
          <w:p>
            <w:pPr>
              <w:jc w:val="center"/>
              <w:rPr>
                <w:rFonts w:ascii="宋体" w:hAnsi="宋体" w:cs="Arial"/>
                <w:color w:val="auto"/>
                <w:highlight w:val="none"/>
              </w:rPr>
            </w:pPr>
            <w:r>
              <w:rPr>
                <w:rFonts w:hint="eastAsia" w:ascii="宋体" w:hAnsi="宋体" w:cs="Arial"/>
                <w:color w:val="auto"/>
                <w:highlight w:val="none"/>
              </w:rPr>
              <w:t>各项管理规章制度及考核方法</w:t>
            </w:r>
          </w:p>
        </w:tc>
        <w:tc>
          <w:tcPr>
            <w:tcW w:w="1035" w:type="dxa"/>
            <w:vAlign w:val="center"/>
          </w:tcPr>
          <w:p>
            <w:pPr>
              <w:spacing w:line="400" w:lineRule="exact"/>
              <w:jc w:val="center"/>
              <w:rPr>
                <w:rFonts w:ascii="宋体" w:hAnsi="宋体" w:cs="Arial"/>
                <w:color w:val="auto"/>
                <w:highlight w:val="none"/>
              </w:rPr>
            </w:pPr>
            <w:r>
              <w:rPr>
                <w:rFonts w:hint="eastAsia" w:ascii="宋体" w:hAnsi="宋体" w:cs="Arial"/>
                <w:color w:val="auto"/>
                <w:highlight w:val="none"/>
              </w:rPr>
              <w:t>0-5分</w:t>
            </w:r>
          </w:p>
        </w:tc>
        <w:tc>
          <w:tcPr>
            <w:tcW w:w="5015" w:type="dxa"/>
            <w:vAlign w:val="center"/>
          </w:tcPr>
          <w:p>
            <w:pPr>
              <w:spacing w:line="300" w:lineRule="exact"/>
              <w:rPr>
                <w:rFonts w:ascii="宋体" w:hAnsi="宋体"/>
                <w:snapToGrid w:val="0"/>
                <w:color w:val="auto"/>
                <w:highlight w:val="none"/>
              </w:rPr>
            </w:pPr>
            <w:r>
              <w:rPr>
                <w:rFonts w:hint="eastAsia" w:ascii="宋体" w:hAnsi="宋体"/>
                <w:snapToGrid w:val="0"/>
                <w:color w:val="auto"/>
                <w:highlight w:val="none"/>
              </w:rPr>
              <w:t>各项公众服务制度、内部岗位责任制度、管理运作制度、管理人员考核制度及标准、应急预案保障方案等，</w:t>
            </w:r>
            <w:r>
              <w:rPr>
                <w:rFonts w:hint="eastAsia" w:ascii="宋体" w:hAnsi="宋体" w:cs="Arial"/>
                <w:color w:val="auto"/>
                <w:highlight w:val="none"/>
              </w:rPr>
              <w:t>由评委横向比较酌情打分。</w:t>
            </w:r>
          </w:p>
          <w:p>
            <w:pPr>
              <w:spacing w:line="300" w:lineRule="exact"/>
              <w:rPr>
                <w:rFonts w:ascii="宋体" w:hAnsi="宋体" w:cs="Arial"/>
                <w:color w:val="auto"/>
                <w:highlight w:val="none"/>
              </w:rPr>
            </w:pPr>
            <w:r>
              <w:rPr>
                <w:rFonts w:hint="eastAsia" w:ascii="宋体" w:hAnsi="宋体"/>
                <w:snapToGrid w:val="0"/>
                <w:color w:val="auto"/>
                <w:highlight w:val="none"/>
              </w:rPr>
              <w:t>A档5-3.3分，B档3.2-1.6分，C档1.5-0分。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0" w:type="dxa"/>
            <w:vMerge w:val="continue"/>
            <w:vAlign w:val="center"/>
          </w:tcPr>
          <w:p>
            <w:pPr>
              <w:spacing w:line="400" w:lineRule="exact"/>
              <w:jc w:val="center"/>
              <w:rPr>
                <w:rFonts w:ascii="宋体" w:hAnsi="宋体" w:cs="Arial"/>
                <w:color w:val="auto"/>
                <w:highlight w:val="none"/>
              </w:rPr>
            </w:pPr>
          </w:p>
        </w:tc>
        <w:tc>
          <w:tcPr>
            <w:tcW w:w="897" w:type="dxa"/>
            <w:vMerge w:val="continue"/>
            <w:vAlign w:val="center"/>
          </w:tcPr>
          <w:p>
            <w:pPr>
              <w:spacing w:line="400" w:lineRule="exact"/>
              <w:rPr>
                <w:rFonts w:ascii="宋体" w:hAnsi="宋体" w:cs="Arial"/>
                <w:color w:val="auto"/>
                <w:highlight w:val="none"/>
              </w:rPr>
            </w:pPr>
          </w:p>
        </w:tc>
        <w:tc>
          <w:tcPr>
            <w:tcW w:w="1890" w:type="dxa"/>
            <w:vAlign w:val="center"/>
          </w:tcPr>
          <w:p>
            <w:pPr>
              <w:jc w:val="center"/>
              <w:rPr>
                <w:rFonts w:ascii="宋体" w:hAnsi="宋体" w:cs="Arial"/>
                <w:color w:val="auto"/>
                <w:highlight w:val="none"/>
              </w:rPr>
            </w:pPr>
            <w:r>
              <w:rPr>
                <w:rFonts w:hint="eastAsia" w:ascii="宋体" w:hAnsi="宋体" w:cs="Arial"/>
                <w:color w:val="auto"/>
                <w:highlight w:val="none"/>
              </w:rPr>
              <w:t>针对本项目特点和难点分析及解决措施</w:t>
            </w:r>
          </w:p>
        </w:tc>
        <w:tc>
          <w:tcPr>
            <w:tcW w:w="1035" w:type="dxa"/>
            <w:vAlign w:val="center"/>
          </w:tcPr>
          <w:p>
            <w:pPr>
              <w:spacing w:line="400" w:lineRule="exact"/>
              <w:jc w:val="center"/>
              <w:rPr>
                <w:rFonts w:ascii="宋体" w:hAnsi="宋体" w:cs="Arial"/>
                <w:color w:val="auto"/>
                <w:highlight w:val="none"/>
              </w:rPr>
            </w:pPr>
            <w:r>
              <w:rPr>
                <w:rFonts w:hint="eastAsia" w:ascii="宋体" w:hAnsi="宋体" w:cs="Arial"/>
                <w:color w:val="auto"/>
                <w:highlight w:val="none"/>
              </w:rPr>
              <w:t>0-5分</w:t>
            </w:r>
          </w:p>
        </w:tc>
        <w:tc>
          <w:tcPr>
            <w:tcW w:w="5015" w:type="dxa"/>
            <w:vAlign w:val="center"/>
          </w:tcPr>
          <w:p>
            <w:pPr>
              <w:spacing w:line="300" w:lineRule="exact"/>
              <w:rPr>
                <w:rFonts w:ascii="宋体" w:hAnsi="宋体" w:cs="黑体"/>
                <w:color w:val="auto"/>
                <w:highlight w:val="none"/>
              </w:rPr>
            </w:pPr>
            <w:r>
              <w:rPr>
                <w:rFonts w:hint="eastAsia" w:ascii="宋体" w:hAnsi="宋体" w:cs="黑体"/>
                <w:color w:val="auto"/>
                <w:highlight w:val="none"/>
              </w:rPr>
              <w:t>根据供应商针对本项目的</w:t>
            </w:r>
            <w:r>
              <w:rPr>
                <w:rFonts w:hint="eastAsia" w:ascii="宋体" w:hAnsi="宋体" w:cs="Arial"/>
                <w:color w:val="auto"/>
                <w:highlight w:val="none"/>
              </w:rPr>
              <w:t>特点和难点分析及解决措施等情况，由评委综合比较打分。</w:t>
            </w:r>
          </w:p>
          <w:p>
            <w:pPr>
              <w:spacing w:line="300" w:lineRule="exact"/>
              <w:rPr>
                <w:rFonts w:ascii="宋体" w:hAnsi="宋体" w:cs="黑体"/>
                <w:color w:val="auto"/>
                <w:highlight w:val="none"/>
              </w:rPr>
            </w:pPr>
            <w:r>
              <w:rPr>
                <w:rFonts w:hint="eastAsia" w:ascii="宋体" w:hAnsi="宋体"/>
                <w:snapToGrid w:val="0"/>
                <w:color w:val="auto"/>
                <w:highlight w:val="none"/>
              </w:rPr>
              <w:t>A档5-3.3分，B档3.2-1.6分，C档1.5-0分。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0" w:type="dxa"/>
            <w:vAlign w:val="center"/>
          </w:tcPr>
          <w:p>
            <w:pPr>
              <w:spacing w:line="400" w:lineRule="exact"/>
              <w:jc w:val="center"/>
              <w:rPr>
                <w:rFonts w:ascii="宋体" w:hAnsi="宋体" w:cs="Arial"/>
                <w:color w:val="auto"/>
                <w:highlight w:val="none"/>
              </w:rPr>
            </w:pPr>
            <w:r>
              <w:rPr>
                <w:rFonts w:hint="eastAsia" w:ascii="宋体" w:hAnsi="宋体" w:cs="Arial"/>
                <w:color w:val="auto"/>
                <w:highlight w:val="none"/>
              </w:rPr>
              <w:t>6</w:t>
            </w:r>
          </w:p>
        </w:tc>
        <w:tc>
          <w:tcPr>
            <w:tcW w:w="2787" w:type="dxa"/>
            <w:gridSpan w:val="2"/>
            <w:vAlign w:val="center"/>
          </w:tcPr>
          <w:p>
            <w:pPr>
              <w:spacing w:line="400" w:lineRule="exact"/>
              <w:rPr>
                <w:rFonts w:ascii="宋体" w:hAnsi="宋体" w:cs="Arial"/>
                <w:color w:val="auto"/>
                <w:highlight w:val="none"/>
              </w:rPr>
            </w:pPr>
            <w:r>
              <w:rPr>
                <w:rFonts w:hint="eastAsia" w:ascii="宋体" w:hAnsi="宋体" w:cs="Arial"/>
                <w:color w:val="auto"/>
                <w:highlight w:val="none"/>
              </w:rPr>
              <w:t>服务提升方案</w:t>
            </w:r>
          </w:p>
        </w:tc>
        <w:tc>
          <w:tcPr>
            <w:tcW w:w="1035" w:type="dxa"/>
            <w:vAlign w:val="center"/>
          </w:tcPr>
          <w:p>
            <w:pPr>
              <w:spacing w:line="400" w:lineRule="exact"/>
              <w:jc w:val="center"/>
              <w:rPr>
                <w:rFonts w:ascii="宋体" w:hAnsi="宋体" w:cs="Arial"/>
                <w:color w:val="auto"/>
                <w:highlight w:val="none"/>
              </w:rPr>
            </w:pPr>
            <w:r>
              <w:rPr>
                <w:rFonts w:hint="eastAsia" w:ascii="宋体" w:hAnsi="宋体" w:cs="Arial"/>
                <w:color w:val="auto"/>
                <w:highlight w:val="none"/>
              </w:rPr>
              <w:t>0-5分</w:t>
            </w:r>
          </w:p>
        </w:tc>
        <w:tc>
          <w:tcPr>
            <w:tcW w:w="5015" w:type="dxa"/>
            <w:vAlign w:val="center"/>
          </w:tcPr>
          <w:p>
            <w:pPr>
              <w:spacing w:line="300" w:lineRule="exact"/>
              <w:rPr>
                <w:rFonts w:ascii="宋体" w:hAnsi="宋体" w:cs="Arial"/>
                <w:color w:val="auto"/>
                <w:highlight w:val="none"/>
              </w:rPr>
            </w:pPr>
            <w:r>
              <w:rPr>
                <w:rFonts w:hint="eastAsia" w:ascii="宋体" w:hAnsi="宋体" w:cs="Arial"/>
                <w:color w:val="auto"/>
                <w:szCs w:val="21"/>
                <w:highlight w:val="none"/>
              </w:rPr>
              <w:t>根据本项目服务实施情况，对日常人员配置的优化和区域包干管理的提升性（本项目常驻管理专员人数、管理区域的日常卫生、物业检查等附加项目）</w:t>
            </w:r>
            <w:r>
              <w:rPr>
                <w:rFonts w:hint="eastAsia" w:ascii="宋体" w:hAnsi="宋体" w:cs="Arial"/>
                <w:color w:val="auto"/>
                <w:highlight w:val="none"/>
              </w:rPr>
              <w:t xml:space="preserve">，由评委综合比较打分。 </w:t>
            </w:r>
          </w:p>
          <w:p>
            <w:pPr>
              <w:spacing w:line="300" w:lineRule="exact"/>
              <w:rPr>
                <w:rFonts w:ascii="宋体" w:hAnsi="宋体" w:cs="Arial"/>
                <w:color w:val="auto"/>
                <w:szCs w:val="21"/>
                <w:highlight w:val="none"/>
              </w:rPr>
            </w:pPr>
            <w:r>
              <w:rPr>
                <w:rFonts w:hint="eastAsia" w:ascii="宋体" w:hAnsi="宋体"/>
                <w:snapToGrid w:val="0"/>
                <w:color w:val="auto"/>
                <w:highlight w:val="none"/>
              </w:rPr>
              <w:t>A档5-3.3分，B档3.2-1.6分，C档1.5-0分。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0" w:type="dxa"/>
            <w:vAlign w:val="center"/>
          </w:tcPr>
          <w:p>
            <w:pPr>
              <w:spacing w:line="400" w:lineRule="exact"/>
              <w:jc w:val="center"/>
              <w:rPr>
                <w:rFonts w:ascii="宋体" w:hAnsi="宋体" w:cs="Arial"/>
                <w:color w:val="auto"/>
                <w:highlight w:val="none"/>
              </w:rPr>
            </w:pPr>
            <w:r>
              <w:rPr>
                <w:rFonts w:hint="eastAsia" w:ascii="宋体" w:hAnsi="宋体" w:cs="Arial"/>
                <w:color w:val="auto"/>
                <w:highlight w:val="none"/>
              </w:rPr>
              <w:t>7</w:t>
            </w:r>
          </w:p>
        </w:tc>
        <w:tc>
          <w:tcPr>
            <w:tcW w:w="2787" w:type="dxa"/>
            <w:gridSpan w:val="2"/>
            <w:vAlign w:val="center"/>
          </w:tcPr>
          <w:p>
            <w:pPr>
              <w:spacing w:line="400" w:lineRule="exact"/>
              <w:rPr>
                <w:rFonts w:ascii="宋体" w:hAnsi="宋体" w:cs="Arial"/>
                <w:color w:val="auto"/>
                <w:highlight w:val="none"/>
              </w:rPr>
            </w:pPr>
            <w:r>
              <w:rPr>
                <w:rFonts w:hint="eastAsia" w:ascii="宋体" w:hAnsi="宋体" w:cs="Arial"/>
                <w:color w:val="auto"/>
                <w:highlight w:val="none"/>
              </w:rPr>
              <w:t>预案体系建设方案</w:t>
            </w:r>
          </w:p>
        </w:tc>
        <w:tc>
          <w:tcPr>
            <w:tcW w:w="1035" w:type="dxa"/>
            <w:vAlign w:val="center"/>
          </w:tcPr>
          <w:p>
            <w:pPr>
              <w:spacing w:line="400" w:lineRule="exact"/>
              <w:jc w:val="center"/>
              <w:rPr>
                <w:rFonts w:ascii="宋体" w:hAnsi="宋体" w:cs="Arial"/>
                <w:color w:val="auto"/>
                <w:highlight w:val="none"/>
              </w:rPr>
            </w:pPr>
            <w:r>
              <w:rPr>
                <w:rFonts w:hint="eastAsia" w:ascii="宋体" w:hAnsi="宋体" w:cs="Arial"/>
                <w:color w:val="auto"/>
                <w:highlight w:val="none"/>
              </w:rPr>
              <w:t>0-4分</w:t>
            </w:r>
          </w:p>
        </w:tc>
        <w:tc>
          <w:tcPr>
            <w:tcW w:w="5015" w:type="dxa"/>
            <w:vAlign w:val="center"/>
          </w:tcPr>
          <w:p>
            <w:pPr>
              <w:rPr>
                <w:rFonts w:ascii="宋体" w:hAnsi="宋体"/>
                <w:color w:val="auto"/>
                <w:szCs w:val="21"/>
                <w:highlight w:val="none"/>
              </w:rPr>
            </w:pPr>
            <w:r>
              <w:rPr>
                <w:rFonts w:hint="eastAsia" w:ascii="宋体" w:hAnsi="宋体"/>
                <w:color w:val="auto"/>
                <w:szCs w:val="21"/>
                <w:highlight w:val="none"/>
              </w:rPr>
              <w:t>根据本项目服务要求内容，对预案启动的服务承诺，应急支援能力，预案启动到达现场响应时间、人员配置，服务标准，保障措施等方面内容，</w:t>
            </w:r>
            <w:r>
              <w:rPr>
                <w:rFonts w:hint="eastAsia" w:ascii="宋体" w:hAnsi="宋体" w:cs="Arial"/>
                <w:color w:val="auto"/>
                <w:highlight w:val="none"/>
              </w:rPr>
              <w:t>由评委综合比较打分。</w:t>
            </w:r>
          </w:p>
          <w:p>
            <w:pPr>
              <w:spacing w:line="240" w:lineRule="auto"/>
              <w:rPr>
                <w:rFonts w:ascii="宋体" w:hAnsi="宋体" w:cs="Arial"/>
                <w:color w:val="auto"/>
                <w:szCs w:val="21"/>
                <w:highlight w:val="none"/>
              </w:rPr>
            </w:pPr>
            <w:r>
              <w:rPr>
                <w:rFonts w:hint="eastAsia" w:ascii="宋体" w:hAnsi="宋体"/>
                <w:snapToGrid w:val="0"/>
                <w:color w:val="auto"/>
                <w:highlight w:val="none"/>
              </w:rPr>
              <w:t>A档4-2.6分，B档2.5-1.3分，C档1.2-0分。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0" w:type="dxa"/>
            <w:vAlign w:val="center"/>
          </w:tcPr>
          <w:p>
            <w:pPr>
              <w:spacing w:line="400" w:lineRule="exact"/>
              <w:jc w:val="center"/>
              <w:rPr>
                <w:rFonts w:ascii="宋体" w:hAnsi="宋体" w:cs="Arial"/>
                <w:color w:val="auto"/>
                <w:highlight w:val="none"/>
              </w:rPr>
            </w:pPr>
            <w:r>
              <w:rPr>
                <w:rFonts w:hint="eastAsia" w:ascii="宋体" w:hAnsi="宋体" w:cs="Arial"/>
                <w:color w:val="auto"/>
                <w:highlight w:val="none"/>
              </w:rPr>
              <w:t>8</w:t>
            </w:r>
          </w:p>
        </w:tc>
        <w:tc>
          <w:tcPr>
            <w:tcW w:w="2787" w:type="dxa"/>
            <w:gridSpan w:val="2"/>
            <w:vAlign w:val="center"/>
          </w:tcPr>
          <w:p>
            <w:pPr>
              <w:spacing w:line="400" w:lineRule="exact"/>
              <w:rPr>
                <w:rFonts w:ascii="宋体" w:hAnsi="宋体" w:cs="Arial"/>
                <w:color w:val="auto"/>
                <w:highlight w:val="none"/>
              </w:rPr>
            </w:pPr>
            <w:r>
              <w:rPr>
                <w:rFonts w:hint="eastAsia" w:ascii="宋体" w:hAnsi="宋体"/>
                <w:snapToGrid w:val="0"/>
                <w:color w:val="auto"/>
                <w:highlight w:val="none"/>
              </w:rPr>
              <w:t>优惠承诺</w:t>
            </w:r>
          </w:p>
        </w:tc>
        <w:tc>
          <w:tcPr>
            <w:tcW w:w="1035" w:type="dxa"/>
            <w:vAlign w:val="center"/>
          </w:tcPr>
          <w:p>
            <w:pPr>
              <w:spacing w:line="400" w:lineRule="exact"/>
              <w:jc w:val="center"/>
              <w:rPr>
                <w:rFonts w:ascii="宋体" w:hAnsi="宋体" w:cs="Arial"/>
                <w:color w:val="auto"/>
                <w:highlight w:val="none"/>
              </w:rPr>
            </w:pPr>
            <w:r>
              <w:rPr>
                <w:rFonts w:hint="eastAsia" w:ascii="宋体" w:hAnsi="宋体" w:cs="Arial"/>
                <w:color w:val="auto"/>
                <w:highlight w:val="none"/>
              </w:rPr>
              <w:t>0-2分</w:t>
            </w:r>
          </w:p>
        </w:tc>
        <w:tc>
          <w:tcPr>
            <w:tcW w:w="5015" w:type="dxa"/>
            <w:vAlign w:val="center"/>
          </w:tcPr>
          <w:p>
            <w:pPr>
              <w:spacing w:line="300" w:lineRule="exact"/>
              <w:rPr>
                <w:rFonts w:ascii="宋体" w:hAnsi="宋体"/>
                <w:snapToGrid w:val="0"/>
                <w:color w:val="auto"/>
                <w:highlight w:val="none"/>
              </w:rPr>
            </w:pPr>
            <w:r>
              <w:rPr>
                <w:rFonts w:hint="eastAsia" w:ascii="宋体" w:hAnsi="宋体"/>
                <w:snapToGrid w:val="0"/>
                <w:color w:val="auto"/>
                <w:highlight w:val="none"/>
              </w:rPr>
              <w:t>根据投标人提供的增值服务项目数量、优惠承诺实用性情况，</w:t>
            </w:r>
            <w:r>
              <w:rPr>
                <w:rFonts w:ascii="宋体" w:hAnsi="宋体" w:cs="Arial"/>
                <w:color w:val="auto"/>
                <w:kern w:val="0"/>
                <w:szCs w:val="21"/>
                <w:highlight w:val="none"/>
              </w:rPr>
              <w:t>由评委酌情打分。</w:t>
            </w:r>
            <w:r>
              <w:rPr>
                <w:rFonts w:hint="eastAsia" w:ascii="宋体" w:hAnsi="宋体" w:cs="Arial"/>
                <w:color w:val="auto"/>
                <w:kern w:val="0"/>
                <w:szCs w:val="21"/>
                <w:highlight w:val="none"/>
              </w:rPr>
              <w:t>（0-2分）</w:t>
            </w:r>
          </w:p>
        </w:tc>
      </w:tr>
    </w:tbl>
    <w:p>
      <w:pPr>
        <w:pStyle w:val="2"/>
        <w:ind w:left="0" w:leftChars="0" w:firstLine="0" w:firstLineChars="0"/>
        <w:rPr>
          <w:color w:val="auto"/>
          <w:highlight w:val="none"/>
        </w:rPr>
      </w:pPr>
    </w:p>
    <w:p>
      <w:pPr>
        <w:numPr>
          <w:ilvl w:val="0"/>
          <w:numId w:val="16"/>
        </w:numPr>
        <w:overflowPunct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商务（报价）评分（满分40分）：</w:t>
      </w:r>
    </w:p>
    <w:p>
      <w:pPr>
        <w:spacing w:line="360" w:lineRule="auto"/>
        <w:ind w:left="328" w:leftChars="156" w:firstLine="220" w:firstLineChars="100"/>
        <w:rPr>
          <w:rFonts w:ascii="宋体" w:hAnsi="宋体"/>
          <w:color w:val="auto"/>
          <w:sz w:val="22"/>
          <w:szCs w:val="22"/>
          <w:highlight w:val="none"/>
        </w:rPr>
      </w:pPr>
      <w:r>
        <w:rPr>
          <w:rFonts w:hint="eastAsia" w:ascii="宋体" w:hAnsi="宋体"/>
          <w:color w:val="auto"/>
          <w:sz w:val="22"/>
          <w:szCs w:val="22"/>
          <w:highlight w:val="none"/>
        </w:rPr>
        <w:t>满足采购文件要求且投标价格最低的投标报价为评标基准价。</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（1）有效投标人的投标报价等于评标基准价时其价格分为满分40分；</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（2）其他投标人的价格分按以下公式计算：</w:t>
      </w:r>
    </w:p>
    <w:p>
      <w:pPr>
        <w:spacing w:line="360" w:lineRule="auto"/>
        <w:ind w:left="548" w:leftChars="261"/>
        <w:rPr>
          <w:rFonts w:ascii="宋体" w:hAnsi="宋体"/>
          <w:color w:val="auto"/>
          <w:sz w:val="22"/>
          <w:szCs w:val="22"/>
          <w:highlight w:val="none"/>
        </w:rPr>
      </w:pPr>
      <w:r>
        <w:rPr>
          <w:rFonts w:hint="eastAsia" w:ascii="宋体" w:hAnsi="宋体"/>
          <w:color w:val="auto"/>
          <w:sz w:val="22"/>
          <w:szCs w:val="22"/>
          <w:highlight w:val="none"/>
        </w:rPr>
        <w:t>投标报价得分=（评标基准价/投标人投标价）×价格权值×100（四舍五入，保留小数点后2位）</w:t>
      </w:r>
    </w:p>
    <w:p>
      <w:pPr>
        <w:numPr>
          <w:ilvl w:val="0"/>
          <w:numId w:val="17"/>
        </w:numPr>
        <w:spacing w:line="360" w:lineRule="auto"/>
        <w:ind w:left="550" w:hanging="550" w:hangingChars="250"/>
        <w:rPr>
          <w:rFonts w:ascii="宋体" w:hAnsi="宋体"/>
          <w:color w:val="auto"/>
          <w:spacing w:val="-4"/>
          <w:sz w:val="22"/>
          <w:szCs w:val="22"/>
          <w:highlight w:val="none"/>
          <w:u w:val="single"/>
        </w:rPr>
      </w:pPr>
      <w:r>
        <w:rPr>
          <w:rFonts w:hint="eastAsia" w:ascii="宋体" w:hAnsi="宋体" w:cs="宋体"/>
          <w:color w:val="auto"/>
          <w:sz w:val="22"/>
          <w:szCs w:val="22"/>
          <w:highlight w:val="none"/>
        </w:rPr>
        <w:t>▲</w:t>
      </w:r>
      <w:r>
        <w:rPr>
          <w:rFonts w:hint="eastAsia" w:ascii="宋体" w:hAnsi="宋体"/>
          <w:color w:val="auto"/>
          <w:sz w:val="22"/>
          <w:szCs w:val="22"/>
          <w:highlight w:val="none"/>
          <w:u w:val="single"/>
        </w:rPr>
        <w:t>本项目采购预算为75万元，</w:t>
      </w:r>
      <w:r>
        <w:rPr>
          <w:rFonts w:hint="eastAsia" w:ascii="宋体" w:hAnsi="宋体"/>
          <w:color w:val="auto"/>
          <w:spacing w:val="-4"/>
          <w:sz w:val="22"/>
          <w:szCs w:val="22"/>
          <w:highlight w:val="none"/>
          <w:u w:val="single"/>
        </w:rPr>
        <w:t>投标人的报价超过了采购预算，其投标文件按无效标处理。</w:t>
      </w:r>
    </w:p>
    <w:p>
      <w:pPr>
        <w:numPr>
          <w:ilvl w:val="0"/>
          <w:numId w:val="17"/>
        </w:numPr>
        <w:spacing w:line="360" w:lineRule="auto"/>
        <w:ind w:left="550" w:hanging="550" w:hangingChars="250"/>
        <w:rPr>
          <w:rFonts w:ascii="宋体" w:hAnsi="宋体"/>
          <w:color w:val="auto"/>
          <w:sz w:val="22"/>
          <w:szCs w:val="22"/>
          <w:highlight w:val="none"/>
        </w:rPr>
      </w:pPr>
      <w:r>
        <w:rPr>
          <w:rFonts w:hint="eastAsia" w:ascii="宋体" w:hAnsi="宋体" w:cs="宋体"/>
          <w:color w:val="auto"/>
          <w:sz w:val="22"/>
          <w:szCs w:val="22"/>
          <w:highlight w:val="none"/>
        </w:rPr>
        <w:t>▲</w:t>
      </w:r>
      <w:r>
        <w:rPr>
          <w:rFonts w:hint="eastAsia" w:ascii="宋体" w:hAnsi="宋体"/>
          <w:color w:val="auto"/>
          <w:spacing w:val="-4"/>
          <w:sz w:val="22"/>
          <w:szCs w:val="22"/>
          <w:highlight w:val="none"/>
          <w:u w:val="single"/>
        </w:rPr>
        <w:t>投标人的报价均超过了采购预算，本次采购应予废标，重新组织采购</w:t>
      </w:r>
      <w:r>
        <w:rPr>
          <w:rFonts w:hint="eastAsia" w:ascii="宋体" w:hAnsi="宋体"/>
          <w:color w:val="auto"/>
          <w:spacing w:val="-4"/>
          <w:sz w:val="22"/>
          <w:szCs w:val="22"/>
          <w:highlight w:val="none"/>
        </w:rPr>
        <w:t>。</w:t>
      </w:r>
    </w:p>
    <w:p>
      <w:pPr>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3、各有效投标人的综合得分为其技术资信分和商务（报价）分的总和。</w:t>
      </w:r>
    </w:p>
    <w:p>
      <w:pPr>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评标委员会依据法律、法规及采购文件有关规定在有效标中按投标人综合得分（即技术资信分与商务（价格）分之和）由高到低顺序排列，综合得分前二名的投标人作为该项目第一中标候选人、第二中标候选人向采购人推荐，并提交评标报告（得分相同，投标报价低的排序第一；得分且投标报价相同的，则由评委抽签决定排序）。</w:t>
      </w:r>
    </w:p>
    <w:p>
      <w:pPr>
        <w:spacing w:line="360" w:lineRule="auto"/>
        <w:ind w:firstLine="440" w:firstLineChars="200"/>
        <w:rPr>
          <w:rFonts w:ascii="宋体" w:hAnsi="宋体" w:cs="宋体"/>
          <w:bCs/>
          <w:color w:val="auto"/>
          <w:sz w:val="22"/>
          <w:szCs w:val="22"/>
          <w:highlight w:val="none"/>
        </w:rPr>
      </w:pPr>
      <w:r>
        <w:rPr>
          <w:rFonts w:hint="eastAsia" w:ascii="宋体" w:hAnsi="宋体" w:cs="宋体"/>
          <w:color w:val="auto"/>
          <w:sz w:val="22"/>
          <w:szCs w:val="22"/>
          <w:highlight w:val="none"/>
        </w:rPr>
        <w:t>5、</w:t>
      </w:r>
      <w:r>
        <w:rPr>
          <w:rFonts w:hint="eastAsia" w:ascii="宋体" w:hAnsi="宋体" w:cs="宋体"/>
          <w:b/>
          <w:bCs/>
          <w:color w:val="auto"/>
          <w:sz w:val="22"/>
          <w:szCs w:val="22"/>
          <w:highlight w:val="none"/>
          <w:u w:val="single"/>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left="552" w:hanging="552" w:hangingChars="250"/>
        <w:rPr>
          <w:rFonts w:ascii="宋体" w:hAnsi="宋体" w:cs="宋体"/>
          <w:b/>
          <w:color w:val="auto"/>
          <w:sz w:val="22"/>
          <w:szCs w:val="22"/>
          <w:highlight w:val="none"/>
        </w:rPr>
      </w:pPr>
      <w:r>
        <w:rPr>
          <w:rFonts w:hint="eastAsia" w:ascii="宋体" w:hAnsi="宋体" w:cs="宋体"/>
          <w:b/>
          <w:color w:val="auto"/>
          <w:sz w:val="22"/>
          <w:szCs w:val="22"/>
          <w:highlight w:val="none"/>
        </w:rPr>
        <w:t>六、定标办法</w:t>
      </w:r>
    </w:p>
    <w:p>
      <w:pPr>
        <w:spacing w:line="360" w:lineRule="auto"/>
        <w:ind w:firstLine="440" w:firstLineChars="200"/>
        <w:rPr>
          <w:rFonts w:ascii="宋体" w:hAnsi="宋体"/>
          <w:color w:val="auto"/>
          <w:sz w:val="22"/>
          <w:szCs w:val="22"/>
          <w:highlight w:val="none"/>
        </w:rPr>
      </w:pPr>
      <w:r>
        <w:rPr>
          <w:rFonts w:hint="eastAsia" w:ascii="宋体" w:hAnsi="宋体"/>
          <w:color w:val="auto"/>
          <w:sz w:val="22"/>
          <w:szCs w:val="22"/>
          <w:highlight w:val="none"/>
        </w:rPr>
        <w:t>本次采购由评标委员会推荐中标候选人，</w:t>
      </w:r>
      <w:r>
        <w:rPr>
          <w:rFonts w:ascii="宋体" w:hAnsi="宋体"/>
          <w:color w:val="auto"/>
          <w:sz w:val="22"/>
          <w:szCs w:val="22"/>
          <w:highlight w:val="none"/>
        </w:rPr>
        <w:t>采购人根据评标委员会的推荐结果进行最终确认</w:t>
      </w:r>
      <w:r>
        <w:rPr>
          <w:rFonts w:hint="eastAsia" w:ascii="宋体" w:hAnsi="宋体"/>
          <w:color w:val="auto"/>
          <w:sz w:val="22"/>
          <w:szCs w:val="22"/>
          <w:highlight w:val="none"/>
        </w:rPr>
        <w:t>。排名第一的中标候选人因自身原因放弃中标或因不可抗力不能履行合同的；或采购文件规定应当提交履约保证金而在规定的期限内未能提交的；或未能在规定时间内与采购人签订合同的；或经质疑，采购组织机构审查确认因排名第一的中标候选人在本次采购活动中存在违法违规行为或其他原因使质疑成立的，采购人可以直接确定排名第二的中标候选人为中标人，或重新组织采购。</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七、确定中标人</w:t>
      </w:r>
    </w:p>
    <w:p>
      <w:pPr>
        <w:pStyle w:val="10"/>
        <w:adjustRightInd w:val="0"/>
        <w:snapToGrid w:val="0"/>
        <w:spacing w:after="0" w:line="360" w:lineRule="auto"/>
        <w:ind w:firstLine="440" w:firstLineChars="200"/>
        <w:rPr>
          <w:rFonts w:ascii="宋体" w:hAnsi="宋体" w:eastAsia="宋体" w:cs="宋体"/>
          <w:b/>
          <w:color w:val="auto"/>
          <w:sz w:val="22"/>
          <w:szCs w:val="22"/>
          <w:highlight w:val="none"/>
        </w:rPr>
      </w:pPr>
      <w:r>
        <w:rPr>
          <w:rFonts w:hint="eastAsia" w:ascii="宋体" w:hAnsi="宋体" w:eastAsia="宋体" w:cs="宋体"/>
          <w:color w:val="auto"/>
          <w:sz w:val="22"/>
          <w:szCs w:val="22"/>
          <w:highlight w:val="none"/>
        </w:rPr>
        <w:t>中标人经采购人确认后，中标结果在浙江省政府采购网和</w:t>
      </w:r>
      <w:r>
        <w:rPr>
          <w:rFonts w:hint="eastAsia" w:ascii="宋体" w:hAnsi="宋体" w:eastAsia="宋体" w:cs="宋体"/>
          <w:bCs/>
          <w:color w:val="auto"/>
          <w:sz w:val="22"/>
          <w:szCs w:val="22"/>
          <w:highlight w:val="none"/>
        </w:rPr>
        <w:t>温州国企采购平台等信息媒体上</w:t>
      </w:r>
      <w:r>
        <w:rPr>
          <w:rFonts w:hint="eastAsia" w:ascii="宋体" w:hAnsi="宋体" w:eastAsia="宋体" w:cs="宋体"/>
          <w:color w:val="auto"/>
          <w:sz w:val="22"/>
          <w:szCs w:val="22"/>
          <w:highlight w:val="none"/>
        </w:rPr>
        <w:t>公告，中标公告的公示期结束后，在规定期限内无异议则采购代理机构将向中标人发出中标知书。中标通知书对采购人和中标人具有同等法律效力。</w:t>
      </w:r>
    </w:p>
    <w:p>
      <w:pPr>
        <w:pStyle w:val="10"/>
        <w:adjustRightInd w:val="0"/>
        <w:snapToGrid w:val="0"/>
        <w:spacing w:after="0" w:line="360" w:lineRule="auto"/>
        <w:rPr>
          <w:rFonts w:ascii="宋体" w:hAnsi="宋体" w:eastAsia="宋体" w:cs="宋体"/>
          <w:b/>
          <w:color w:val="auto"/>
          <w:sz w:val="22"/>
          <w:szCs w:val="22"/>
          <w:highlight w:val="none"/>
        </w:rPr>
      </w:pPr>
      <w:r>
        <w:rPr>
          <w:rFonts w:hint="eastAsia" w:ascii="宋体" w:hAnsi="宋体" w:eastAsia="宋体" w:cs="宋体"/>
          <w:b/>
          <w:color w:val="auto"/>
          <w:sz w:val="22"/>
          <w:szCs w:val="22"/>
          <w:highlight w:val="none"/>
        </w:rPr>
        <w:t>八、投标人义务</w:t>
      </w:r>
    </w:p>
    <w:p>
      <w:pPr>
        <w:spacing w:line="360" w:lineRule="auto"/>
        <w:ind w:firstLine="440" w:firstLineChars="200"/>
        <w:rPr>
          <w:color w:val="auto"/>
          <w:highlight w:val="none"/>
        </w:rPr>
      </w:pPr>
      <w:r>
        <w:rPr>
          <w:rFonts w:hint="eastAsia" w:ascii="宋体" w:hAnsi="宋体" w:cs="宋体"/>
          <w:color w:val="auto"/>
          <w:sz w:val="22"/>
          <w:szCs w:val="22"/>
          <w:highlight w:val="none"/>
        </w:rPr>
        <w:t>投标人应随时接受评标委员会的询标，解答包括有关的商务、技术等问题。评标结束，所有评标资料归档备查。</w:t>
      </w:r>
    </w:p>
    <w:sectPr>
      <w:pgSz w:w="11900" w:h="16838"/>
      <w:pgMar w:top="1440" w:right="1474" w:bottom="1440" w:left="1474" w:header="737" w:footer="737"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宋体,Verdana,Arial">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3073" o:spid="_x0000_s3073" o:spt="202" type="#_x0000_t202" style="position:absolute;left:0pt;margin-top:0pt;height:144pt;width:144pt;mso-position-horizontal:center;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&#1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12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uto" w:sz="4" w:space="1"/>
      </w:pBdr>
      <w:wordWrap w:val="0"/>
      <w:ind w:right="360" w:firstLine="4140" w:firstLineChars="2300"/>
    </w:pPr>
    <w:r>
      <w:pict>
        <v:shape id="文本框 7" o:spid="_x0000_s3074" o:spt="202" type="#_x0000_t202" style="position:absolute;left:0pt;margin-top:0pt;height:14.35pt;width:13pt;mso-position-horizontal:center;mso-position-horizontal-relative:margin;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">
          <v:path/>
          <v:fill on="f" focussize="0,0"/>
          <v:stroke on="f" joinstyle="miter"/>
          <v:imagedata o:title=""/>
          <o:lock v:ext="edit"/>
          <v:textbox inset="0mm,0mm,0mm,0mm">
            <w:txbxContent>
              <w:p>
                <w:pPr>
                  <w:pStyle w:val="17"/>
                  <w:pBdr>
                    <w:top w:val="single" w:color="auto" w:sz="4" w:space="1"/>
                  </w:pBdr>
                  <w:wordWrap w:val="0"/>
                  <w:ind w:right="360"/>
                </w:pPr>
                <w:r>
                  <w:fldChar w:fldCharType="begin"/>
                </w:r>
                <w:r>
                  <w:instrText xml:space="preserve">PAGE   \* MERGEFORMAT</w:instrText>
                </w:r>
                <w:r>
                  <w:fldChar w:fldCharType="separate"/>
                </w:r>
                <w:r>
                  <w:rPr>
                    <w:lang w:val="zh-CN"/>
                  </w:rPr>
                  <w:t>39</w:t>
                </w:r>
                <w:r>
                  <w:rPr>
                    <w:lang w:val="zh-CN"/>
                  </w:rPr>
                  <w:fldChar w:fldCharType="end"/>
                </w:r>
                <w:r>
                  <w:rPr>
                    <w:rFonts w:hint="eastAsia"/>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5005"/>
        <w:tab w:val="right" w:pos="9950"/>
        <w:tab w:val="clear" w:pos="4153"/>
        <w:tab w:val="clear" w:pos="8306"/>
      </w:tabs>
      <w:jc w:val="both"/>
    </w:pPr>
    <w:r>
      <w:pict>
        <v:shape id="文本框 72" o:spid="_x0000_s3075"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v:textbox>
        </v:shape>
      </w:pict>
    </w:r>
    <w:r>
      <w:pict>
        <v:shape id="文本框 24" o:spid="_x0000_s3076"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17"/>
                </w:pPr>
              </w:p>
            </w:txbxContent>
          </v:textbox>
        </v:shape>
      </w:pict>
    </w:r>
    <w:r>
      <w:pict>
        <v:shape id="文本框 25" o:spid="_x0000_s307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7"/>
                  <w:tabs>
                    <w:tab w:val="center" w:pos="4975"/>
                    <w:tab w:val="right" w:pos="9950"/>
                    <w:tab w:val="clear" w:pos="4153"/>
                    <w:tab w:val="clear" w:pos="8306"/>
                  </w:tabs>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77770E"/>
    <w:multiLevelType w:val="singleLevel"/>
    <w:tmpl w:val="B977770E"/>
    <w:lvl w:ilvl="0" w:tentative="0">
      <w:start w:val="1"/>
      <w:numFmt w:val="decimal"/>
      <w:suff w:val="nothing"/>
      <w:lvlText w:val="%1、"/>
      <w:lvlJc w:val="left"/>
    </w:lvl>
  </w:abstractNum>
  <w:abstractNum w:abstractNumId="1">
    <w:nsid w:val="BAB9B1D4"/>
    <w:multiLevelType w:val="singleLevel"/>
    <w:tmpl w:val="BAB9B1D4"/>
    <w:lvl w:ilvl="0" w:tentative="0">
      <w:start w:val="2"/>
      <w:numFmt w:val="decimal"/>
      <w:suff w:val="nothing"/>
      <w:lvlText w:val="（%1）"/>
      <w:lvlJc w:val="left"/>
    </w:lvl>
  </w:abstractNum>
  <w:abstractNum w:abstractNumId="2">
    <w:nsid w:val="E8818634"/>
    <w:multiLevelType w:val="singleLevel"/>
    <w:tmpl w:val="E8818634"/>
    <w:lvl w:ilvl="0" w:tentative="0">
      <w:start w:val="1"/>
      <w:numFmt w:val="decimal"/>
      <w:suff w:val="space"/>
      <w:lvlText w:val="%1)"/>
      <w:lvlJc w:val="left"/>
    </w:lvl>
  </w:abstractNum>
  <w:abstractNum w:abstractNumId="3">
    <w:nsid w:val="0000000B"/>
    <w:multiLevelType w:val="multilevel"/>
    <w:tmpl w:val="0000000B"/>
    <w:lvl w:ilvl="0" w:tentative="0">
      <w:start w:val="1"/>
      <w:numFmt w:val="decimal"/>
      <w:lvlText w:val="%1)"/>
      <w:lvlJc w:val="left"/>
      <w:pPr>
        <w:tabs>
          <w:tab w:val="left" w:pos="780"/>
        </w:tabs>
        <w:ind w:left="78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E"/>
    <w:multiLevelType w:val="multilevel"/>
    <w:tmpl w:val="0000000E"/>
    <w:lvl w:ilvl="0" w:tentative="0">
      <w:start w:val="1"/>
      <w:numFmt w:val="decimal"/>
      <w:lvlText w:val="%1."/>
      <w:lvlJc w:val="left"/>
      <w:pPr>
        <w:tabs>
          <w:tab w:val="left" w:pos="635"/>
        </w:tabs>
        <w:ind w:left="635" w:hanging="425"/>
      </w:pPr>
      <w:rPr>
        <w:rFonts w:hint="eastAsia"/>
        <w:b w:val="0"/>
      </w:rPr>
    </w:lvl>
    <w:lvl w:ilvl="1" w:tentative="0">
      <w:start w:val="1"/>
      <w:numFmt w:val="decimal"/>
      <w:lvlText w:val="%1.%2."/>
      <w:lvlJc w:val="left"/>
      <w:pPr>
        <w:tabs>
          <w:tab w:val="left" w:pos="567"/>
        </w:tabs>
        <w:ind w:left="567" w:hanging="567"/>
      </w:pPr>
      <w:rPr>
        <w:rFonts w:hint="eastAsia" w:ascii="宋体" w:hAnsi="宋体" w:eastAsia="宋体"/>
        <w:b w:val="0"/>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5">
    <w:nsid w:val="00000015"/>
    <w:multiLevelType w:val="multilevel"/>
    <w:tmpl w:val="00000015"/>
    <w:lvl w:ilvl="0" w:tentative="0">
      <w:start w:val="1"/>
      <w:numFmt w:val="decimal"/>
      <w:lvlText w:val="%1)"/>
      <w:lvlJc w:val="left"/>
      <w:pPr>
        <w:tabs>
          <w:tab w:val="left" w:pos="780"/>
        </w:tabs>
        <w:ind w:left="78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C"/>
    <w:multiLevelType w:val="multilevel"/>
    <w:tmpl w:val="0000001C"/>
    <w:lvl w:ilvl="0" w:tentative="0">
      <w:start w:val="1"/>
      <w:numFmt w:val="none"/>
      <w:lvlText w:val="2"/>
      <w:lvlJc w:val="left"/>
      <w:pPr>
        <w:tabs>
          <w:tab w:val="left" w:pos="425"/>
        </w:tabs>
        <w:ind w:left="425" w:hanging="425"/>
      </w:pPr>
      <w:rPr>
        <w:rFonts w:hint="eastAsia"/>
      </w:rPr>
    </w:lvl>
    <w:lvl w:ilvl="1" w:tentative="0">
      <w:start w:val="1"/>
      <w:numFmt w:val="decimal"/>
      <w:lvlText w:val="%118.%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7">
    <w:nsid w:val="0000001D"/>
    <w:multiLevelType w:val="multilevel"/>
    <w:tmpl w:val="0000001D"/>
    <w:lvl w:ilvl="0" w:tentative="0">
      <w:start w:val="1"/>
      <w:numFmt w:val="none"/>
      <w:lvlText w:val="2"/>
      <w:lvlJc w:val="left"/>
      <w:pPr>
        <w:tabs>
          <w:tab w:val="left" w:pos="425"/>
        </w:tabs>
        <w:ind w:left="425" w:hanging="425"/>
      </w:pPr>
      <w:rPr>
        <w:rFonts w:hint="eastAsia"/>
      </w:rPr>
    </w:lvl>
    <w:lvl w:ilvl="1" w:tentative="0">
      <w:start w:val="1"/>
      <w:numFmt w:val="decimal"/>
      <w:lvlText w:val="%119.%2"/>
      <w:lvlJc w:val="left"/>
      <w:pPr>
        <w:tabs>
          <w:tab w:val="left" w:pos="992"/>
        </w:tabs>
        <w:ind w:left="992" w:hanging="567"/>
      </w:pPr>
      <w:rPr>
        <w:rFonts w:hint="eastAsia"/>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8">
    <w:nsid w:val="0000001F"/>
    <w:multiLevelType w:val="multilevel"/>
    <w:tmpl w:val="0000001F"/>
    <w:lvl w:ilvl="0" w:tentative="0">
      <w:start w:val="1"/>
      <w:numFmt w:val="none"/>
      <w:lvlText w:val="2"/>
      <w:lvlJc w:val="left"/>
      <w:pPr>
        <w:tabs>
          <w:tab w:val="left" w:pos="425"/>
        </w:tabs>
        <w:ind w:left="425" w:hanging="425"/>
      </w:pPr>
      <w:rPr>
        <w:rFonts w:hint="eastAsia"/>
      </w:rPr>
    </w:lvl>
    <w:lvl w:ilvl="1" w:tentative="0">
      <w:start w:val="1"/>
      <w:numFmt w:val="decimal"/>
      <w:lvlText w:val="%116.%2"/>
      <w:lvlJc w:val="left"/>
      <w:pPr>
        <w:tabs>
          <w:tab w:val="left" w:pos="992"/>
        </w:tabs>
        <w:ind w:left="992" w:hanging="567"/>
      </w:pPr>
      <w:rPr>
        <w:rFonts w:hint="eastAsia"/>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9">
    <w:nsid w:val="00000026"/>
    <w:multiLevelType w:val="multilevel"/>
    <w:tmpl w:val="00000026"/>
    <w:lvl w:ilvl="0" w:tentative="0">
      <w:start w:val="1"/>
      <w:numFmt w:val="none"/>
      <w:lvlText w:val="2"/>
      <w:lvlJc w:val="left"/>
      <w:pPr>
        <w:tabs>
          <w:tab w:val="left" w:pos="425"/>
        </w:tabs>
        <w:ind w:left="425" w:hanging="425"/>
      </w:pPr>
      <w:rPr>
        <w:rFonts w:hint="eastAsia"/>
      </w:rPr>
    </w:lvl>
    <w:lvl w:ilvl="1" w:tentative="0">
      <w:start w:val="1"/>
      <w:numFmt w:val="decimal"/>
      <w:lvlText w:val="%117.%2"/>
      <w:lvlJc w:val="left"/>
      <w:pPr>
        <w:tabs>
          <w:tab w:val="left" w:pos="992"/>
        </w:tabs>
        <w:ind w:left="992" w:hanging="567"/>
      </w:pPr>
      <w:rPr>
        <w:rFonts w:hint="eastAsia"/>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0">
    <w:nsid w:val="00000028"/>
    <w:multiLevelType w:val="multilevel"/>
    <w:tmpl w:val="00000028"/>
    <w:lvl w:ilvl="0" w:tentative="0">
      <w:start w:val="1"/>
      <w:numFmt w:val="none"/>
      <w:lvlText w:val="2"/>
      <w:lvlJc w:val="left"/>
      <w:pPr>
        <w:tabs>
          <w:tab w:val="left" w:pos="425"/>
        </w:tabs>
        <w:ind w:left="425" w:hanging="425"/>
      </w:pPr>
      <w:rPr>
        <w:rFonts w:hint="eastAsia"/>
      </w:rPr>
    </w:lvl>
    <w:lvl w:ilvl="1" w:tentative="0">
      <w:start w:val="1"/>
      <w:numFmt w:val="decimal"/>
      <w:lvlText w:val="%115.%2"/>
      <w:lvlJc w:val="left"/>
      <w:pPr>
        <w:tabs>
          <w:tab w:val="left" w:pos="992"/>
        </w:tabs>
        <w:ind w:left="992" w:hanging="567"/>
      </w:pPr>
      <w:rPr>
        <w:rFonts w:hint="eastAsia"/>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1">
    <w:nsid w:val="0AE32968"/>
    <w:multiLevelType w:val="singleLevel"/>
    <w:tmpl w:val="0AE32968"/>
    <w:lvl w:ilvl="0" w:tentative="0">
      <w:start w:val="2"/>
      <w:numFmt w:val="decimal"/>
      <w:suff w:val="space"/>
      <w:lvlText w:val="%1、"/>
      <w:lvlJc w:val="left"/>
    </w:lvl>
  </w:abstractNum>
  <w:abstractNum w:abstractNumId="12">
    <w:nsid w:val="48B91575"/>
    <w:multiLevelType w:val="singleLevel"/>
    <w:tmpl w:val="48B91575"/>
    <w:lvl w:ilvl="0" w:tentative="0">
      <w:start w:val="3"/>
      <w:numFmt w:val="decimal"/>
      <w:suff w:val="nothing"/>
      <w:lvlText w:val="（%1）"/>
      <w:lvlJc w:val="left"/>
    </w:lvl>
  </w:abstractNum>
  <w:abstractNum w:abstractNumId="13">
    <w:nsid w:val="4CF76168"/>
    <w:multiLevelType w:val="singleLevel"/>
    <w:tmpl w:val="4CF76168"/>
    <w:lvl w:ilvl="0" w:tentative="0">
      <w:start w:val="22"/>
      <w:numFmt w:val="decimal"/>
      <w:suff w:val="space"/>
      <w:lvlText w:val="%1."/>
      <w:lvlJc w:val="left"/>
    </w:lvl>
  </w:abstractNum>
  <w:abstractNum w:abstractNumId="14">
    <w:nsid w:val="4F742DF7"/>
    <w:multiLevelType w:val="singleLevel"/>
    <w:tmpl w:val="4F742DF7"/>
    <w:lvl w:ilvl="0" w:tentative="0">
      <w:start w:val="5"/>
      <w:numFmt w:val="chineseCounting"/>
      <w:suff w:val="nothing"/>
      <w:lvlText w:val="%1、"/>
      <w:lvlJc w:val="left"/>
      <w:rPr>
        <w:rFonts w:hint="eastAsia"/>
      </w:rPr>
    </w:lvl>
  </w:abstractNum>
  <w:abstractNum w:abstractNumId="15">
    <w:nsid w:val="72516D77"/>
    <w:multiLevelType w:val="multilevel"/>
    <w:tmpl w:val="72516D77"/>
    <w:lvl w:ilvl="0" w:tentative="0">
      <w:start w:val="1"/>
      <w:numFmt w:val="decimal"/>
      <w:lvlText w:val="%1"/>
      <w:lvlJc w:val="center"/>
      <w:pPr>
        <w:ind w:left="227" w:hanging="29"/>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8C8710F"/>
    <w:multiLevelType w:val="multilevel"/>
    <w:tmpl w:val="78C8710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5"/>
  </w:num>
  <w:num w:numId="2">
    <w:abstractNumId w:val="4"/>
  </w:num>
  <w:num w:numId="3">
    <w:abstractNumId w:val="3"/>
  </w:num>
  <w:num w:numId="4">
    <w:abstractNumId w:val="5"/>
  </w:num>
  <w:num w:numId="5">
    <w:abstractNumId w:val="10"/>
  </w:num>
  <w:num w:numId="6">
    <w:abstractNumId w:val="8"/>
  </w:num>
  <w:num w:numId="7">
    <w:abstractNumId w:val="9"/>
  </w:num>
  <w:num w:numId="8">
    <w:abstractNumId w:val="16"/>
  </w:num>
  <w:num w:numId="9">
    <w:abstractNumId w:val="6"/>
  </w:num>
  <w:num w:numId="10">
    <w:abstractNumId w:val="7"/>
  </w:num>
  <w:num w:numId="11">
    <w:abstractNumId w:val="13"/>
  </w:num>
  <w:num w:numId="12">
    <w:abstractNumId w:val="2"/>
  </w:num>
  <w:num w:numId="13">
    <w:abstractNumId w:val="1"/>
  </w:num>
  <w:num w:numId="14">
    <w:abstractNumId w:val="14"/>
  </w:num>
  <w:num w:numId="15">
    <w:abstractNumId w:val="0"/>
  </w:num>
  <w:num w:numId="16">
    <w:abstractNumId w:val="11"/>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水淼淼">
    <w15:presenceInfo w15:providerId="WPS Office" w15:userId="7682545062"/>
  </w15:person>
  <w15:person w15:author="张弓达">
    <w15:presenceInfo w15:providerId="WPS Office" w15:userId="2753263404"/>
  </w15:person>
  <w15:person w15:author="王莉">
    <w15:presenceInfo w15:providerId="None" w15:userId="王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A14A6"/>
    <w:rsid w:val="00055CAF"/>
    <w:rsid w:val="00070AC4"/>
    <w:rsid w:val="00082F7A"/>
    <w:rsid w:val="0008417D"/>
    <w:rsid w:val="0008513E"/>
    <w:rsid w:val="00095559"/>
    <w:rsid w:val="000B25D0"/>
    <w:rsid w:val="000B7B30"/>
    <w:rsid w:val="000E0432"/>
    <w:rsid w:val="000F6760"/>
    <w:rsid w:val="000F7E98"/>
    <w:rsid w:val="00101246"/>
    <w:rsid w:val="0012438F"/>
    <w:rsid w:val="00127DBD"/>
    <w:rsid w:val="001517F4"/>
    <w:rsid w:val="00162448"/>
    <w:rsid w:val="0016444C"/>
    <w:rsid w:val="00176BB4"/>
    <w:rsid w:val="0018404B"/>
    <w:rsid w:val="001A512C"/>
    <w:rsid w:val="001C2434"/>
    <w:rsid w:val="001E24B1"/>
    <w:rsid w:val="001E7721"/>
    <w:rsid w:val="001F7ECB"/>
    <w:rsid w:val="00217168"/>
    <w:rsid w:val="002214FB"/>
    <w:rsid w:val="00225432"/>
    <w:rsid w:val="00225AB5"/>
    <w:rsid w:val="0025475E"/>
    <w:rsid w:val="002721B1"/>
    <w:rsid w:val="00293995"/>
    <w:rsid w:val="00295EB1"/>
    <w:rsid w:val="002A00A4"/>
    <w:rsid w:val="002A14A6"/>
    <w:rsid w:val="002A173D"/>
    <w:rsid w:val="002B05DF"/>
    <w:rsid w:val="002C746C"/>
    <w:rsid w:val="002E783E"/>
    <w:rsid w:val="00301489"/>
    <w:rsid w:val="003101E0"/>
    <w:rsid w:val="00315FD9"/>
    <w:rsid w:val="003379B7"/>
    <w:rsid w:val="00341B69"/>
    <w:rsid w:val="0034667B"/>
    <w:rsid w:val="00367EC2"/>
    <w:rsid w:val="00373BE6"/>
    <w:rsid w:val="003819A0"/>
    <w:rsid w:val="00386F99"/>
    <w:rsid w:val="003A105E"/>
    <w:rsid w:val="003A19F6"/>
    <w:rsid w:val="003A3D63"/>
    <w:rsid w:val="003D46A7"/>
    <w:rsid w:val="003E4A84"/>
    <w:rsid w:val="003F4CE9"/>
    <w:rsid w:val="003F6E6F"/>
    <w:rsid w:val="00404BB0"/>
    <w:rsid w:val="00405C99"/>
    <w:rsid w:val="00406635"/>
    <w:rsid w:val="00411155"/>
    <w:rsid w:val="00412492"/>
    <w:rsid w:val="00413CF3"/>
    <w:rsid w:val="004356AC"/>
    <w:rsid w:val="00437213"/>
    <w:rsid w:val="004532EC"/>
    <w:rsid w:val="00462C13"/>
    <w:rsid w:val="00463843"/>
    <w:rsid w:val="0047125A"/>
    <w:rsid w:val="004718A4"/>
    <w:rsid w:val="00475962"/>
    <w:rsid w:val="004862A1"/>
    <w:rsid w:val="004A02C6"/>
    <w:rsid w:val="004B20A7"/>
    <w:rsid w:val="004D7AB3"/>
    <w:rsid w:val="00531CA0"/>
    <w:rsid w:val="0055028C"/>
    <w:rsid w:val="00557BE9"/>
    <w:rsid w:val="00557CBB"/>
    <w:rsid w:val="005919E3"/>
    <w:rsid w:val="0059367F"/>
    <w:rsid w:val="005A0B92"/>
    <w:rsid w:val="005B64B7"/>
    <w:rsid w:val="005D1B5C"/>
    <w:rsid w:val="005D338A"/>
    <w:rsid w:val="005F1E83"/>
    <w:rsid w:val="005F5D49"/>
    <w:rsid w:val="006006C3"/>
    <w:rsid w:val="00605876"/>
    <w:rsid w:val="00616110"/>
    <w:rsid w:val="006200AD"/>
    <w:rsid w:val="00620A37"/>
    <w:rsid w:val="00633FA7"/>
    <w:rsid w:val="00645527"/>
    <w:rsid w:val="00654B15"/>
    <w:rsid w:val="00655B55"/>
    <w:rsid w:val="00665DA0"/>
    <w:rsid w:val="00671DF6"/>
    <w:rsid w:val="0068317A"/>
    <w:rsid w:val="006859AF"/>
    <w:rsid w:val="006972D1"/>
    <w:rsid w:val="006A1B77"/>
    <w:rsid w:val="006A64D0"/>
    <w:rsid w:val="006D03F0"/>
    <w:rsid w:val="006D43F4"/>
    <w:rsid w:val="006D5D4A"/>
    <w:rsid w:val="006E4447"/>
    <w:rsid w:val="00700D2B"/>
    <w:rsid w:val="00713697"/>
    <w:rsid w:val="007229A7"/>
    <w:rsid w:val="00727BA4"/>
    <w:rsid w:val="00730307"/>
    <w:rsid w:val="007355FE"/>
    <w:rsid w:val="007607B0"/>
    <w:rsid w:val="00773077"/>
    <w:rsid w:val="007B0C22"/>
    <w:rsid w:val="007B3B48"/>
    <w:rsid w:val="007B4C86"/>
    <w:rsid w:val="007C0579"/>
    <w:rsid w:val="007D6CFD"/>
    <w:rsid w:val="007E698B"/>
    <w:rsid w:val="007F773E"/>
    <w:rsid w:val="008005B3"/>
    <w:rsid w:val="00800AAC"/>
    <w:rsid w:val="008129FF"/>
    <w:rsid w:val="00816521"/>
    <w:rsid w:val="00816874"/>
    <w:rsid w:val="008420DB"/>
    <w:rsid w:val="00854AF3"/>
    <w:rsid w:val="00856986"/>
    <w:rsid w:val="00862184"/>
    <w:rsid w:val="0087245F"/>
    <w:rsid w:val="00872DDC"/>
    <w:rsid w:val="00894641"/>
    <w:rsid w:val="008A3247"/>
    <w:rsid w:val="008B2DA0"/>
    <w:rsid w:val="008B5352"/>
    <w:rsid w:val="008E37F3"/>
    <w:rsid w:val="008E73CB"/>
    <w:rsid w:val="008F3AE7"/>
    <w:rsid w:val="009000B0"/>
    <w:rsid w:val="009064D2"/>
    <w:rsid w:val="00933709"/>
    <w:rsid w:val="00933DC2"/>
    <w:rsid w:val="009462AD"/>
    <w:rsid w:val="009548CF"/>
    <w:rsid w:val="00983DB3"/>
    <w:rsid w:val="00991DC8"/>
    <w:rsid w:val="00995B57"/>
    <w:rsid w:val="009A5EC1"/>
    <w:rsid w:val="009B4403"/>
    <w:rsid w:val="009C0E8F"/>
    <w:rsid w:val="009D28A1"/>
    <w:rsid w:val="00A10E37"/>
    <w:rsid w:val="00A15CC2"/>
    <w:rsid w:val="00A3178A"/>
    <w:rsid w:val="00A44ED5"/>
    <w:rsid w:val="00A668FB"/>
    <w:rsid w:val="00A93CC3"/>
    <w:rsid w:val="00AA71D3"/>
    <w:rsid w:val="00AA7836"/>
    <w:rsid w:val="00AD509A"/>
    <w:rsid w:val="00B01BE0"/>
    <w:rsid w:val="00B16632"/>
    <w:rsid w:val="00B30C5C"/>
    <w:rsid w:val="00B36E9F"/>
    <w:rsid w:val="00B65777"/>
    <w:rsid w:val="00B6652C"/>
    <w:rsid w:val="00B74424"/>
    <w:rsid w:val="00B82261"/>
    <w:rsid w:val="00BA64BF"/>
    <w:rsid w:val="00BE11E4"/>
    <w:rsid w:val="00BE6D9F"/>
    <w:rsid w:val="00C07B12"/>
    <w:rsid w:val="00C22A46"/>
    <w:rsid w:val="00C2746C"/>
    <w:rsid w:val="00C3088E"/>
    <w:rsid w:val="00C53191"/>
    <w:rsid w:val="00C62AEB"/>
    <w:rsid w:val="00C86EDC"/>
    <w:rsid w:val="00CB3060"/>
    <w:rsid w:val="00CC25C2"/>
    <w:rsid w:val="00CE0EAE"/>
    <w:rsid w:val="00CE485D"/>
    <w:rsid w:val="00CF39E7"/>
    <w:rsid w:val="00D041F2"/>
    <w:rsid w:val="00D12EA4"/>
    <w:rsid w:val="00D13DD0"/>
    <w:rsid w:val="00D32A57"/>
    <w:rsid w:val="00D44CA1"/>
    <w:rsid w:val="00D457B0"/>
    <w:rsid w:val="00D55030"/>
    <w:rsid w:val="00D6519B"/>
    <w:rsid w:val="00D86204"/>
    <w:rsid w:val="00D87AD3"/>
    <w:rsid w:val="00D94959"/>
    <w:rsid w:val="00DA1116"/>
    <w:rsid w:val="00DA75FD"/>
    <w:rsid w:val="00DB5168"/>
    <w:rsid w:val="00DE0247"/>
    <w:rsid w:val="00E01C4E"/>
    <w:rsid w:val="00E15A52"/>
    <w:rsid w:val="00E21360"/>
    <w:rsid w:val="00E3042E"/>
    <w:rsid w:val="00E35FEB"/>
    <w:rsid w:val="00E60622"/>
    <w:rsid w:val="00E74F6E"/>
    <w:rsid w:val="00E75512"/>
    <w:rsid w:val="00E822DA"/>
    <w:rsid w:val="00E83E0E"/>
    <w:rsid w:val="00E853AF"/>
    <w:rsid w:val="00E87676"/>
    <w:rsid w:val="00EA3754"/>
    <w:rsid w:val="00EA65F3"/>
    <w:rsid w:val="00EB50FF"/>
    <w:rsid w:val="00ED4505"/>
    <w:rsid w:val="00EE47D7"/>
    <w:rsid w:val="00EE5FA6"/>
    <w:rsid w:val="00EF1806"/>
    <w:rsid w:val="00F032E1"/>
    <w:rsid w:val="00F05485"/>
    <w:rsid w:val="00F411B2"/>
    <w:rsid w:val="00F6208D"/>
    <w:rsid w:val="00F8759D"/>
    <w:rsid w:val="00F94F67"/>
    <w:rsid w:val="00FC0891"/>
    <w:rsid w:val="00FC3531"/>
    <w:rsid w:val="00FD5772"/>
    <w:rsid w:val="00FE7D66"/>
    <w:rsid w:val="00FF1846"/>
    <w:rsid w:val="00FF18F5"/>
    <w:rsid w:val="01003855"/>
    <w:rsid w:val="01130EF9"/>
    <w:rsid w:val="01237509"/>
    <w:rsid w:val="012800C7"/>
    <w:rsid w:val="01395EA9"/>
    <w:rsid w:val="01521111"/>
    <w:rsid w:val="01995900"/>
    <w:rsid w:val="01A37F19"/>
    <w:rsid w:val="01CC0535"/>
    <w:rsid w:val="01D525ED"/>
    <w:rsid w:val="01D91914"/>
    <w:rsid w:val="01E44AD9"/>
    <w:rsid w:val="01E66449"/>
    <w:rsid w:val="01EF3B44"/>
    <w:rsid w:val="0243626A"/>
    <w:rsid w:val="02487023"/>
    <w:rsid w:val="02596A5D"/>
    <w:rsid w:val="026D1D4F"/>
    <w:rsid w:val="02815CDE"/>
    <w:rsid w:val="028C167D"/>
    <w:rsid w:val="028D4691"/>
    <w:rsid w:val="029656A2"/>
    <w:rsid w:val="02975175"/>
    <w:rsid w:val="029D0C42"/>
    <w:rsid w:val="02A20D5F"/>
    <w:rsid w:val="02AF68C6"/>
    <w:rsid w:val="02BE71A2"/>
    <w:rsid w:val="02C8585F"/>
    <w:rsid w:val="02CB04D3"/>
    <w:rsid w:val="02D161DE"/>
    <w:rsid w:val="02D54344"/>
    <w:rsid w:val="02E27ED8"/>
    <w:rsid w:val="02EB10B8"/>
    <w:rsid w:val="030B0E4F"/>
    <w:rsid w:val="03197183"/>
    <w:rsid w:val="032244DA"/>
    <w:rsid w:val="03477AA2"/>
    <w:rsid w:val="0397607D"/>
    <w:rsid w:val="03C079E8"/>
    <w:rsid w:val="03C44D3E"/>
    <w:rsid w:val="03C567F5"/>
    <w:rsid w:val="03DA3630"/>
    <w:rsid w:val="03E84AA7"/>
    <w:rsid w:val="03F35982"/>
    <w:rsid w:val="03F77D28"/>
    <w:rsid w:val="04087591"/>
    <w:rsid w:val="04331AFB"/>
    <w:rsid w:val="04481566"/>
    <w:rsid w:val="04693791"/>
    <w:rsid w:val="046F5ABA"/>
    <w:rsid w:val="048C15A2"/>
    <w:rsid w:val="049B7C6E"/>
    <w:rsid w:val="04A05F31"/>
    <w:rsid w:val="04A135FE"/>
    <w:rsid w:val="04AD2649"/>
    <w:rsid w:val="04BB23D9"/>
    <w:rsid w:val="04BB4471"/>
    <w:rsid w:val="04E5796A"/>
    <w:rsid w:val="04F718FF"/>
    <w:rsid w:val="050E128B"/>
    <w:rsid w:val="05151725"/>
    <w:rsid w:val="0515671F"/>
    <w:rsid w:val="052067E6"/>
    <w:rsid w:val="053F3836"/>
    <w:rsid w:val="05400002"/>
    <w:rsid w:val="054D1965"/>
    <w:rsid w:val="05531029"/>
    <w:rsid w:val="057849B5"/>
    <w:rsid w:val="059C1BB8"/>
    <w:rsid w:val="05B76DB5"/>
    <w:rsid w:val="05B9106C"/>
    <w:rsid w:val="05BA40D5"/>
    <w:rsid w:val="05BC6509"/>
    <w:rsid w:val="05EF2FFD"/>
    <w:rsid w:val="060702B6"/>
    <w:rsid w:val="060B6D71"/>
    <w:rsid w:val="0614200B"/>
    <w:rsid w:val="061C37CF"/>
    <w:rsid w:val="062122DF"/>
    <w:rsid w:val="062F46B0"/>
    <w:rsid w:val="06463BC8"/>
    <w:rsid w:val="06514469"/>
    <w:rsid w:val="065E51CF"/>
    <w:rsid w:val="06614480"/>
    <w:rsid w:val="066406CA"/>
    <w:rsid w:val="06A30950"/>
    <w:rsid w:val="06BB7CF2"/>
    <w:rsid w:val="06BD3432"/>
    <w:rsid w:val="06CC205E"/>
    <w:rsid w:val="06DB43F6"/>
    <w:rsid w:val="06E84FB0"/>
    <w:rsid w:val="06F13ECF"/>
    <w:rsid w:val="07024C89"/>
    <w:rsid w:val="07067C7D"/>
    <w:rsid w:val="070A704F"/>
    <w:rsid w:val="07152F08"/>
    <w:rsid w:val="073543B1"/>
    <w:rsid w:val="07421C70"/>
    <w:rsid w:val="07494DBD"/>
    <w:rsid w:val="07686CDF"/>
    <w:rsid w:val="0769231A"/>
    <w:rsid w:val="076D09E0"/>
    <w:rsid w:val="07717FD1"/>
    <w:rsid w:val="0779456F"/>
    <w:rsid w:val="07915FA0"/>
    <w:rsid w:val="07945DD1"/>
    <w:rsid w:val="07950FAC"/>
    <w:rsid w:val="0797259E"/>
    <w:rsid w:val="07A40CAB"/>
    <w:rsid w:val="07A637FB"/>
    <w:rsid w:val="07BE6C54"/>
    <w:rsid w:val="07D82495"/>
    <w:rsid w:val="07EB2949"/>
    <w:rsid w:val="07F02D01"/>
    <w:rsid w:val="08092A42"/>
    <w:rsid w:val="083402CD"/>
    <w:rsid w:val="083B13A3"/>
    <w:rsid w:val="0840308F"/>
    <w:rsid w:val="086D7D3A"/>
    <w:rsid w:val="08767A7D"/>
    <w:rsid w:val="08784FEB"/>
    <w:rsid w:val="08950CF6"/>
    <w:rsid w:val="089D7DCE"/>
    <w:rsid w:val="08A504E7"/>
    <w:rsid w:val="08EC5975"/>
    <w:rsid w:val="08FA42D7"/>
    <w:rsid w:val="09151486"/>
    <w:rsid w:val="09263F04"/>
    <w:rsid w:val="093C5221"/>
    <w:rsid w:val="09495FED"/>
    <w:rsid w:val="095E2C69"/>
    <w:rsid w:val="09627DE1"/>
    <w:rsid w:val="096725AF"/>
    <w:rsid w:val="097C3F62"/>
    <w:rsid w:val="0980057F"/>
    <w:rsid w:val="098D5C34"/>
    <w:rsid w:val="09943427"/>
    <w:rsid w:val="0998126C"/>
    <w:rsid w:val="099F5704"/>
    <w:rsid w:val="09A33E0B"/>
    <w:rsid w:val="09A35367"/>
    <w:rsid w:val="09AE31B5"/>
    <w:rsid w:val="09CE1533"/>
    <w:rsid w:val="09CE35AA"/>
    <w:rsid w:val="09D401DA"/>
    <w:rsid w:val="09D95A6F"/>
    <w:rsid w:val="09E171BF"/>
    <w:rsid w:val="09E758CC"/>
    <w:rsid w:val="09F401A8"/>
    <w:rsid w:val="0A0E043B"/>
    <w:rsid w:val="0A0E1217"/>
    <w:rsid w:val="0A1E4DBE"/>
    <w:rsid w:val="0A280D82"/>
    <w:rsid w:val="0A373889"/>
    <w:rsid w:val="0A3A6D74"/>
    <w:rsid w:val="0A3F76D5"/>
    <w:rsid w:val="0A49789C"/>
    <w:rsid w:val="0A4E0E55"/>
    <w:rsid w:val="0A68093F"/>
    <w:rsid w:val="0A7C0ED1"/>
    <w:rsid w:val="0AA35B3E"/>
    <w:rsid w:val="0AA601AE"/>
    <w:rsid w:val="0AAA7774"/>
    <w:rsid w:val="0AB148AA"/>
    <w:rsid w:val="0AB57BEA"/>
    <w:rsid w:val="0AB61776"/>
    <w:rsid w:val="0AE05C11"/>
    <w:rsid w:val="0AFB355B"/>
    <w:rsid w:val="0B181AAA"/>
    <w:rsid w:val="0B4542C6"/>
    <w:rsid w:val="0B472DB5"/>
    <w:rsid w:val="0B495297"/>
    <w:rsid w:val="0B4C48CC"/>
    <w:rsid w:val="0B594E65"/>
    <w:rsid w:val="0B5A6986"/>
    <w:rsid w:val="0B6A73C3"/>
    <w:rsid w:val="0B8A43DE"/>
    <w:rsid w:val="0B9B4AC5"/>
    <w:rsid w:val="0BA375D9"/>
    <w:rsid w:val="0BB44525"/>
    <w:rsid w:val="0BCF0B9B"/>
    <w:rsid w:val="0BD65252"/>
    <w:rsid w:val="0BD72DD6"/>
    <w:rsid w:val="0BDB212B"/>
    <w:rsid w:val="0BDB64D4"/>
    <w:rsid w:val="0BDF5C9A"/>
    <w:rsid w:val="0BE50ED7"/>
    <w:rsid w:val="0BF12E60"/>
    <w:rsid w:val="0C10378D"/>
    <w:rsid w:val="0C183709"/>
    <w:rsid w:val="0C743AA5"/>
    <w:rsid w:val="0C7F7191"/>
    <w:rsid w:val="0C9403B9"/>
    <w:rsid w:val="0CA25AA6"/>
    <w:rsid w:val="0CB414A9"/>
    <w:rsid w:val="0CC2122C"/>
    <w:rsid w:val="0CCE4E6D"/>
    <w:rsid w:val="0CDA71E8"/>
    <w:rsid w:val="0CE82549"/>
    <w:rsid w:val="0CE96952"/>
    <w:rsid w:val="0CF525E9"/>
    <w:rsid w:val="0CFF2266"/>
    <w:rsid w:val="0D111850"/>
    <w:rsid w:val="0D340D77"/>
    <w:rsid w:val="0D591E30"/>
    <w:rsid w:val="0D630A34"/>
    <w:rsid w:val="0D733D40"/>
    <w:rsid w:val="0D8F439A"/>
    <w:rsid w:val="0D952072"/>
    <w:rsid w:val="0DAC122D"/>
    <w:rsid w:val="0DC03706"/>
    <w:rsid w:val="0DC1431C"/>
    <w:rsid w:val="0DC918F0"/>
    <w:rsid w:val="0DE11391"/>
    <w:rsid w:val="0DED3CA6"/>
    <w:rsid w:val="0DED620D"/>
    <w:rsid w:val="0DF41F38"/>
    <w:rsid w:val="0E093FC1"/>
    <w:rsid w:val="0E1406AC"/>
    <w:rsid w:val="0E24793F"/>
    <w:rsid w:val="0E2C6EC1"/>
    <w:rsid w:val="0E3A2979"/>
    <w:rsid w:val="0E431D9A"/>
    <w:rsid w:val="0E4D5F84"/>
    <w:rsid w:val="0E50161A"/>
    <w:rsid w:val="0E5E780C"/>
    <w:rsid w:val="0E6702B6"/>
    <w:rsid w:val="0E6C2667"/>
    <w:rsid w:val="0E79634D"/>
    <w:rsid w:val="0E97773C"/>
    <w:rsid w:val="0EBB494A"/>
    <w:rsid w:val="0ED52712"/>
    <w:rsid w:val="0EEA73F3"/>
    <w:rsid w:val="0EF34E92"/>
    <w:rsid w:val="0EFC7E11"/>
    <w:rsid w:val="0F013267"/>
    <w:rsid w:val="0F180A69"/>
    <w:rsid w:val="0F2D28DA"/>
    <w:rsid w:val="0F4F310D"/>
    <w:rsid w:val="0F52326A"/>
    <w:rsid w:val="0F670B5E"/>
    <w:rsid w:val="0F6B1D5F"/>
    <w:rsid w:val="0F774144"/>
    <w:rsid w:val="0F7D01D8"/>
    <w:rsid w:val="0FA1229F"/>
    <w:rsid w:val="0FD71CA6"/>
    <w:rsid w:val="0FD84C4B"/>
    <w:rsid w:val="0FFC3660"/>
    <w:rsid w:val="0FFD306F"/>
    <w:rsid w:val="1006610A"/>
    <w:rsid w:val="100C4AC0"/>
    <w:rsid w:val="100F55F5"/>
    <w:rsid w:val="10673F06"/>
    <w:rsid w:val="10752E80"/>
    <w:rsid w:val="107B2B82"/>
    <w:rsid w:val="107E17BE"/>
    <w:rsid w:val="10C64755"/>
    <w:rsid w:val="10CB6BC1"/>
    <w:rsid w:val="10D3699F"/>
    <w:rsid w:val="10E32406"/>
    <w:rsid w:val="10E828E8"/>
    <w:rsid w:val="10ED369A"/>
    <w:rsid w:val="111C2AD0"/>
    <w:rsid w:val="1129461E"/>
    <w:rsid w:val="11315548"/>
    <w:rsid w:val="113A2EA9"/>
    <w:rsid w:val="11427B69"/>
    <w:rsid w:val="11522B6B"/>
    <w:rsid w:val="11563459"/>
    <w:rsid w:val="1184765E"/>
    <w:rsid w:val="118A4FDE"/>
    <w:rsid w:val="11A75711"/>
    <w:rsid w:val="11B9705C"/>
    <w:rsid w:val="11C10A7F"/>
    <w:rsid w:val="11C81240"/>
    <w:rsid w:val="11E1389C"/>
    <w:rsid w:val="124E2986"/>
    <w:rsid w:val="125A2572"/>
    <w:rsid w:val="12841849"/>
    <w:rsid w:val="12930525"/>
    <w:rsid w:val="12946728"/>
    <w:rsid w:val="12A07077"/>
    <w:rsid w:val="12A36E84"/>
    <w:rsid w:val="12B64DB9"/>
    <w:rsid w:val="12BA1A3B"/>
    <w:rsid w:val="12CC2164"/>
    <w:rsid w:val="12D766EB"/>
    <w:rsid w:val="12D9208B"/>
    <w:rsid w:val="12DF14F1"/>
    <w:rsid w:val="13552304"/>
    <w:rsid w:val="1359398F"/>
    <w:rsid w:val="13752142"/>
    <w:rsid w:val="13AE4D96"/>
    <w:rsid w:val="13C419BE"/>
    <w:rsid w:val="13C94C59"/>
    <w:rsid w:val="13D32758"/>
    <w:rsid w:val="13DE346D"/>
    <w:rsid w:val="13E065DE"/>
    <w:rsid w:val="13FA1C80"/>
    <w:rsid w:val="141A49C7"/>
    <w:rsid w:val="14476353"/>
    <w:rsid w:val="144F2014"/>
    <w:rsid w:val="14576F4D"/>
    <w:rsid w:val="1459535C"/>
    <w:rsid w:val="1470784D"/>
    <w:rsid w:val="1479169D"/>
    <w:rsid w:val="148460CF"/>
    <w:rsid w:val="14904E5E"/>
    <w:rsid w:val="149A588D"/>
    <w:rsid w:val="14B543C1"/>
    <w:rsid w:val="14C70860"/>
    <w:rsid w:val="14D73E2A"/>
    <w:rsid w:val="14DD4A7C"/>
    <w:rsid w:val="14E419AA"/>
    <w:rsid w:val="14E77ED7"/>
    <w:rsid w:val="14E81406"/>
    <w:rsid w:val="14EE6DFE"/>
    <w:rsid w:val="14F1077A"/>
    <w:rsid w:val="14F471E8"/>
    <w:rsid w:val="150A3171"/>
    <w:rsid w:val="150B09CD"/>
    <w:rsid w:val="151B0239"/>
    <w:rsid w:val="15364E3C"/>
    <w:rsid w:val="153C6F77"/>
    <w:rsid w:val="15467D5E"/>
    <w:rsid w:val="15576AA0"/>
    <w:rsid w:val="155C21D0"/>
    <w:rsid w:val="15655C1A"/>
    <w:rsid w:val="156A1117"/>
    <w:rsid w:val="15717382"/>
    <w:rsid w:val="15727F00"/>
    <w:rsid w:val="15834A73"/>
    <w:rsid w:val="15AE08F4"/>
    <w:rsid w:val="15C2268B"/>
    <w:rsid w:val="15D172DE"/>
    <w:rsid w:val="15E73EA6"/>
    <w:rsid w:val="15EB187C"/>
    <w:rsid w:val="15EE1F0E"/>
    <w:rsid w:val="1624382C"/>
    <w:rsid w:val="16482753"/>
    <w:rsid w:val="165018CB"/>
    <w:rsid w:val="165C27FC"/>
    <w:rsid w:val="16662E38"/>
    <w:rsid w:val="16674FAC"/>
    <w:rsid w:val="16800D84"/>
    <w:rsid w:val="169052EE"/>
    <w:rsid w:val="16A2366F"/>
    <w:rsid w:val="16CA14FE"/>
    <w:rsid w:val="16DA0446"/>
    <w:rsid w:val="16EF25CF"/>
    <w:rsid w:val="16F40808"/>
    <w:rsid w:val="16F45090"/>
    <w:rsid w:val="17116D4C"/>
    <w:rsid w:val="17122112"/>
    <w:rsid w:val="17353266"/>
    <w:rsid w:val="174A77DD"/>
    <w:rsid w:val="1765314F"/>
    <w:rsid w:val="176F64B5"/>
    <w:rsid w:val="17736505"/>
    <w:rsid w:val="17861EF6"/>
    <w:rsid w:val="178811E7"/>
    <w:rsid w:val="17A564E1"/>
    <w:rsid w:val="17DD37DE"/>
    <w:rsid w:val="180954C0"/>
    <w:rsid w:val="18153963"/>
    <w:rsid w:val="181B656A"/>
    <w:rsid w:val="18280CCC"/>
    <w:rsid w:val="183E6D27"/>
    <w:rsid w:val="18440621"/>
    <w:rsid w:val="18442D7E"/>
    <w:rsid w:val="184D4C71"/>
    <w:rsid w:val="185A0F0D"/>
    <w:rsid w:val="18602032"/>
    <w:rsid w:val="18626608"/>
    <w:rsid w:val="18730796"/>
    <w:rsid w:val="18744CC8"/>
    <w:rsid w:val="18826A20"/>
    <w:rsid w:val="18906348"/>
    <w:rsid w:val="18AA17F3"/>
    <w:rsid w:val="18AB2783"/>
    <w:rsid w:val="18F811A0"/>
    <w:rsid w:val="18F91403"/>
    <w:rsid w:val="19064561"/>
    <w:rsid w:val="19265818"/>
    <w:rsid w:val="193A6627"/>
    <w:rsid w:val="19446F46"/>
    <w:rsid w:val="19594EC9"/>
    <w:rsid w:val="195D491A"/>
    <w:rsid w:val="195D4A4F"/>
    <w:rsid w:val="19821B6E"/>
    <w:rsid w:val="198D5452"/>
    <w:rsid w:val="199D6FFE"/>
    <w:rsid w:val="19C73655"/>
    <w:rsid w:val="19EF0738"/>
    <w:rsid w:val="1A11639B"/>
    <w:rsid w:val="1A267B0B"/>
    <w:rsid w:val="1A285444"/>
    <w:rsid w:val="1A450100"/>
    <w:rsid w:val="1A5015F6"/>
    <w:rsid w:val="1A53411A"/>
    <w:rsid w:val="1A5D6F0F"/>
    <w:rsid w:val="1A882502"/>
    <w:rsid w:val="1A893D6F"/>
    <w:rsid w:val="1A955AC8"/>
    <w:rsid w:val="1AAB552C"/>
    <w:rsid w:val="1AB70B2C"/>
    <w:rsid w:val="1ABF44DD"/>
    <w:rsid w:val="1ACA607B"/>
    <w:rsid w:val="1AD23C67"/>
    <w:rsid w:val="1AD25B97"/>
    <w:rsid w:val="1ADB3D9B"/>
    <w:rsid w:val="1AEE7E7E"/>
    <w:rsid w:val="1AFC1003"/>
    <w:rsid w:val="1B1551DD"/>
    <w:rsid w:val="1B1B5371"/>
    <w:rsid w:val="1B2C5FE4"/>
    <w:rsid w:val="1B2E2E22"/>
    <w:rsid w:val="1B347E91"/>
    <w:rsid w:val="1B4F0C6C"/>
    <w:rsid w:val="1B543DCB"/>
    <w:rsid w:val="1B592F4D"/>
    <w:rsid w:val="1B594E95"/>
    <w:rsid w:val="1B6E1272"/>
    <w:rsid w:val="1B6F3295"/>
    <w:rsid w:val="1B7C2DA6"/>
    <w:rsid w:val="1BAA1944"/>
    <w:rsid w:val="1BAB6B44"/>
    <w:rsid w:val="1BAC5ED8"/>
    <w:rsid w:val="1BC71791"/>
    <w:rsid w:val="1BE42DA6"/>
    <w:rsid w:val="1BFA6768"/>
    <w:rsid w:val="1BFC3C07"/>
    <w:rsid w:val="1C120433"/>
    <w:rsid w:val="1C1A1963"/>
    <w:rsid w:val="1C1A2E0C"/>
    <w:rsid w:val="1C1F7328"/>
    <w:rsid w:val="1C3E367B"/>
    <w:rsid w:val="1C4C61F3"/>
    <w:rsid w:val="1C4D73C1"/>
    <w:rsid w:val="1C515CCB"/>
    <w:rsid w:val="1C6A7F0C"/>
    <w:rsid w:val="1C6B3472"/>
    <w:rsid w:val="1C790826"/>
    <w:rsid w:val="1CAF248D"/>
    <w:rsid w:val="1CE21BE2"/>
    <w:rsid w:val="1CF05E7F"/>
    <w:rsid w:val="1CF2702D"/>
    <w:rsid w:val="1CF32ABF"/>
    <w:rsid w:val="1D0E6D51"/>
    <w:rsid w:val="1D1B6EC0"/>
    <w:rsid w:val="1D24772C"/>
    <w:rsid w:val="1D2858FA"/>
    <w:rsid w:val="1D2B6142"/>
    <w:rsid w:val="1D3750CB"/>
    <w:rsid w:val="1D3C365E"/>
    <w:rsid w:val="1D4A37DD"/>
    <w:rsid w:val="1D537DFF"/>
    <w:rsid w:val="1D682858"/>
    <w:rsid w:val="1D7F5B86"/>
    <w:rsid w:val="1D99691A"/>
    <w:rsid w:val="1D9C67E5"/>
    <w:rsid w:val="1DA32958"/>
    <w:rsid w:val="1DBC5B48"/>
    <w:rsid w:val="1DC22889"/>
    <w:rsid w:val="1E031636"/>
    <w:rsid w:val="1E1073B0"/>
    <w:rsid w:val="1E3C4D06"/>
    <w:rsid w:val="1E52130E"/>
    <w:rsid w:val="1E657CB0"/>
    <w:rsid w:val="1E8515B8"/>
    <w:rsid w:val="1E8A538C"/>
    <w:rsid w:val="1EAA43E2"/>
    <w:rsid w:val="1EC501E1"/>
    <w:rsid w:val="1EEC79E6"/>
    <w:rsid w:val="1EFA6A03"/>
    <w:rsid w:val="1F134915"/>
    <w:rsid w:val="1F14453B"/>
    <w:rsid w:val="1F3C75CD"/>
    <w:rsid w:val="1F3D6873"/>
    <w:rsid w:val="1F441A7D"/>
    <w:rsid w:val="1F542605"/>
    <w:rsid w:val="1F5438CD"/>
    <w:rsid w:val="1FB423D9"/>
    <w:rsid w:val="1FBB0B6C"/>
    <w:rsid w:val="1FCC757A"/>
    <w:rsid w:val="1FDC2130"/>
    <w:rsid w:val="1FF63F82"/>
    <w:rsid w:val="200C4323"/>
    <w:rsid w:val="202B3E5E"/>
    <w:rsid w:val="202C3D14"/>
    <w:rsid w:val="202D0F00"/>
    <w:rsid w:val="20304F44"/>
    <w:rsid w:val="2034572D"/>
    <w:rsid w:val="20432178"/>
    <w:rsid w:val="20554798"/>
    <w:rsid w:val="206A2716"/>
    <w:rsid w:val="206A5DC2"/>
    <w:rsid w:val="207966B4"/>
    <w:rsid w:val="20945BE3"/>
    <w:rsid w:val="20A06A34"/>
    <w:rsid w:val="20C43EB6"/>
    <w:rsid w:val="20D25E8E"/>
    <w:rsid w:val="20DE362A"/>
    <w:rsid w:val="20E05695"/>
    <w:rsid w:val="20ED4450"/>
    <w:rsid w:val="21055BA2"/>
    <w:rsid w:val="21165E07"/>
    <w:rsid w:val="2117058E"/>
    <w:rsid w:val="211C56DF"/>
    <w:rsid w:val="2123620E"/>
    <w:rsid w:val="212B0905"/>
    <w:rsid w:val="212C5777"/>
    <w:rsid w:val="213E2515"/>
    <w:rsid w:val="214922BE"/>
    <w:rsid w:val="214A572D"/>
    <w:rsid w:val="214B0F30"/>
    <w:rsid w:val="21710BD5"/>
    <w:rsid w:val="217A41CE"/>
    <w:rsid w:val="21B4383B"/>
    <w:rsid w:val="21CC38C4"/>
    <w:rsid w:val="21E5419C"/>
    <w:rsid w:val="21E63E86"/>
    <w:rsid w:val="21FE5031"/>
    <w:rsid w:val="220148A9"/>
    <w:rsid w:val="2204269E"/>
    <w:rsid w:val="220F09B8"/>
    <w:rsid w:val="220F4605"/>
    <w:rsid w:val="221C3AC5"/>
    <w:rsid w:val="223B2F32"/>
    <w:rsid w:val="223F29F0"/>
    <w:rsid w:val="225B71DD"/>
    <w:rsid w:val="2274517E"/>
    <w:rsid w:val="22804414"/>
    <w:rsid w:val="22823269"/>
    <w:rsid w:val="229915C1"/>
    <w:rsid w:val="22B30EFF"/>
    <w:rsid w:val="22C567FD"/>
    <w:rsid w:val="22F267C1"/>
    <w:rsid w:val="22F45DE7"/>
    <w:rsid w:val="22F8558E"/>
    <w:rsid w:val="230566EF"/>
    <w:rsid w:val="230E6C95"/>
    <w:rsid w:val="23381260"/>
    <w:rsid w:val="2345462C"/>
    <w:rsid w:val="23487AE8"/>
    <w:rsid w:val="235D3530"/>
    <w:rsid w:val="236533EB"/>
    <w:rsid w:val="23661199"/>
    <w:rsid w:val="237D7898"/>
    <w:rsid w:val="237F79D7"/>
    <w:rsid w:val="23875E6A"/>
    <w:rsid w:val="23A5137F"/>
    <w:rsid w:val="23B76896"/>
    <w:rsid w:val="23B77CC5"/>
    <w:rsid w:val="23C4722A"/>
    <w:rsid w:val="23C735E8"/>
    <w:rsid w:val="23DD53D0"/>
    <w:rsid w:val="23EE0935"/>
    <w:rsid w:val="23F954F7"/>
    <w:rsid w:val="24094E88"/>
    <w:rsid w:val="24315F5B"/>
    <w:rsid w:val="244B0819"/>
    <w:rsid w:val="246040AE"/>
    <w:rsid w:val="2484641B"/>
    <w:rsid w:val="24A20F3F"/>
    <w:rsid w:val="24A25D01"/>
    <w:rsid w:val="24B2089D"/>
    <w:rsid w:val="24BF15BD"/>
    <w:rsid w:val="24C66865"/>
    <w:rsid w:val="24CA6763"/>
    <w:rsid w:val="24CE1D42"/>
    <w:rsid w:val="24D0095E"/>
    <w:rsid w:val="24E42509"/>
    <w:rsid w:val="24FD3CEE"/>
    <w:rsid w:val="25170CD0"/>
    <w:rsid w:val="2518507E"/>
    <w:rsid w:val="25257965"/>
    <w:rsid w:val="252652AD"/>
    <w:rsid w:val="25344C67"/>
    <w:rsid w:val="25503E05"/>
    <w:rsid w:val="255B58FA"/>
    <w:rsid w:val="25A206E5"/>
    <w:rsid w:val="25B248D0"/>
    <w:rsid w:val="25C17A29"/>
    <w:rsid w:val="25CF1FF8"/>
    <w:rsid w:val="25D269D7"/>
    <w:rsid w:val="25D56DBC"/>
    <w:rsid w:val="25EB5771"/>
    <w:rsid w:val="2603749E"/>
    <w:rsid w:val="26565FDE"/>
    <w:rsid w:val="267321FD"/>
    <w:rsid w:val="26796C1F"/>
    <w:rsid w:val="268754D3"/>
    <w:rsid w:val="26C2232E"/>
    <w:rsid w:val="26C22AEB"/>
    <w:rsid w:val="26C52102"/>
    <w:rsid w:val="26CF6E4C"/>
    <w:rsid w:val="27077FFF"/>
    <w:rsid w:val="270C390E"/>
    <w:rsid w:val="270D0763"/>
    <w:rsid w:val="27130893"/>
    <w:rsid w:val="2713295C"/>
    <w:rsid w:val="271B7A89"/>
    <w:rsid w:val="27386643"/>
    <w:rsid w:val="2745064F"/>
    <w:rsid w:val="27487CBE"/>
    <w:rsid w:val="274F656C"/>
    <w:rsid w:val="277648F7"/>
    <w:rsid w:val="2785786F"/>
    <w:rsid w:val="27D66E49"/>
    <w:rsid w:val="27D8775F"/>
    <w:rsid w:val="27E43E43"/>
    <w:rsid w:val="27EA1187"/>
    <w:rsid w:val="28087768"/>
    <w:rsid w:val="28541CF4"/>
    <w:rsid w:val="28542608"/>
    <w:rsid w:val="286E2FC4"/>
    <w:rsid w:val="28982DF5"/>
    <w:rsid w:val="28A87189"/>
    <w:rsid w:val="28A95DB8"/>
    <w:rsid w:val="28D6304B"/>
    <w:rsid w:val="28D809E7"/>
    <w:rsid w:val="28E131B3"/>
    <w:rsid w:val="28ED3211"/>
    <w:rsid w:val="28F123AD"/>
    <w:rsid w:val="28FA0C77"/>
    <w:rsid w:val="29284B92"/>
    <w:rsid w:val="293D232A"/>
    <w:rsid w:val="294666E5"/>
    <w:rsid w:val="294A0A67"/>
    <w:rsid w:val="295A7227"/>
    <w:rsid w:val="296C06E8"/>
    <w:rsid w:val="296F5DF3"/>
    <w:rsid w:val="29723039"/>
    <w:rsid w:val="2984624D"/>
    <w:rsid w:val="29847FDC"/>
    <w:rsid w:val="298A6462"/>
    <w:rsid w:val="299573FA"/>
    <w:rsid w:val="29A55B0C"/>
    <w:rsid w:val="29A92D74"/>
    <w:rsid w:val="29F32607"/>
    <w:rsid w:val="29F539D4"/>
    <w:rsid w:val="2A01237A"/>
    <w:rsid w:val="2A103A4C"/>
    <w:rsid w:val="2A1B4737"/>
    <w:rsid w:val="2A2846FE"/>
    <w:rsid w:val="2A324F59"/>
    <w:rsid w:val="2A3E29B1"/>
    <w:rsid w:val="2A3F2703"/>
    <w:rsid w:val="2A47003E"/>
    <w:rsid w:val="2A6D49E1"/>
    <w:rsid w:val="2A7E2EFA"/>
    <w:rsid w:val="2A90442E"/>
    <w:rsid w:val="2AA010E5"/>
    <w:rsid w:val="2AE15BDE"/>
    <w:rsid w:val="2B057B79"/>
    <w:rsid w:val="2B0B18E9"/>
    <w:rsid w:val="2B0B4C37"/>
    <w:rsid w:val="2B4C0A5B"/>
    <w:rsid w:val="2B4E2FF1"/>
    <w:rsid w:val="2B6A78AA"/>
    <w:rsid w:val="2B727D24"/>
    <w:rsid w:val="2B8A46DC"/>
    <w:rsid w:val="2BA33DAF"/>
    <w:rsid w:val="2BB47B06"/>
    <w:rsid w:val="2BD60450"/>
    <w:rsid w:val="2BD62991"/>
    <w:rsid w:val="2BDD200A"/>
    <w:rsid w:val="2BF80CA9"/>
    <w:rsid w:val="2C0C7C18"/>
    <w:rsid w:val="2C0F26D0"/>
    <w:rsid w:val="2C340445"/>
    <w:rsid w:val="2C44653B"/>
    <w:rsid w:val="2C454128"/>
    <w:rsid w:val="2C48445F"/>
    <w:rsid w:val="2C544D98"/>
    <w:rsid w:val="2C603AFC"/>
    <w:rsid w:val="2C625F89"/>
    <w:rsid w:val="2C853371"/>
    <w:rsid w:val="2C8D29D7"/>
    <w:rsid w:val="2C945F50"/>
    <w:rsid w:val="2C9863AA"/>
    <w:rsid w:val="2CA37C4F"/>
    <w:rsid w:val="2CA82863"/>
    <w:rsid w:val="2CB51135"/>
    <w:rsid w:val="2CD9215F"/>
    <w:rsid w:val="2CEB4D3E"/>
    <w:rsid w:val="2CF27418"/>
    <w:rsid w:val="2CFD1D64"/>
    <w:rsid w:val="2CFE003E"/>
    <w:rsid w:val="2CFF0F0A"/>
    <w:rsid w:val="2D110F90"/>
    <w:rsid w:val="2D352824"/>
    <w:rsid w:val="2D3D346E"/>
    <w:rsid w:val="2D51439C"/>
    <w:rsid w:val="2D5A099E"/>
    <w:rsid w:val="2D5A44B8"/>
    <w:rsid w:val="2D66423E"/>
    <w:rsid w:val="2D8578C5"/>
    <w:rsid w:val="2D9F637D"/>
    <w:rsid w:val="2DA13217"/>
    <w:rsid w:val="2DA82823"/>
    <w:rsid w:val="2DC31753"/>
    <w:rsid w:val="2DCE1325"/>
    <w:rsid w:val="2DDF5301"/>
    <w:rsid w:val="2DE11ED6"/>
    <w:rsid w:val="2E036D34"/>
    <w:rsid w:val="2E0F18D4"/>
    <w:rsid w:val="2E1969C3"/>
    <w:rsid w:val="2E310BDA"/>
    <w:rsid w:val="2E334085"/>
    <w:rsid w:val="2E362FE5"/>
    <w:rsid w:val="2E5F1063"/>
    <w:rsid w:val="2E69156B"/>
    <w:rsid w:val="2E721A72"/>
    <w:rsid w:val="2E762527"/>
    <w:rsid w:val="2E7B34D5"/>
    <w:rsid w:val="2E87590B"/>
    <w:rsid w:val="2E9A0183"/>
    <w:rsid w:val="2EB94190"/>
    <w:rsid w:val="2EC06AB1"/>
    <w:rsid w:val="2EDE62C3"/>
    <w:rsid w:val="2EE14AAC"/>
    <w:rsid w:val="2F0439FA"/>
    <w:rsid w:val="2F0D0B33"/>
    <w:rsid w:val="2F4202F6"/>
    <w:rsid w:val="2F5255C0"/>
    <w:rsid w:val="2F586371"/>
    <w:rsid w:val="2F6315BF"/>
    <w:rsid w:val="2F6A0D59"/>
    <w:rsid w:val="2F747619"/>
    <w:rsid w:val="2F771813"/>
    <w:rsid w:val="2F7856F1"/>
    <w:rsid w:val="2F8170A8"/>
    <w:rsid w:val="2F930AF3"/>
    <w:rsid w:val="2F946FA6"/>
    <w:rsid w:val="2FA04E85"/>
    <w:rsid w:val="2FA76D5A"/>
    <w:rsid w:val="2FA96F30"/>
    <w:rsid w:val="2FB05CDE"/>
    <w:rsid w:val="2FC959A6"/>
    <w:rsid w:val="2FCB13B8"/>
    <w:rsid w:val="2FD63BA3"/>
    <w:rsid w:val="2FD87FC6"/>
    <w:rsid w:val="2FF82D65"/>
    <w:rsid w:val="2FFF32BD"/>
    <w:rsid w:val="301975BA"/>
    <w:rsid w:val="30284AA6"/>
    <w:rsid w:val="305700A1"/>
    <w:rsid w:val="306E0BD5"/>
    <w:rsid w:val="30740A24"/>
    <w:rsid w:val="30786643"/>
    <w:rsid w:val="30915E29"/>
    <w:rsid w:val="30AA3450"/>
    <w:rsid w:val="30B116BD"/>
    <w:rsid w:val="30E2400F"/>
    <w:rsid w:val="30F96554"/>
    <w:rsid w:val="31093801"/>
    <w:rsid w:val="3111127E"/>
    <w:rsid w:val="311E6E0B"/>
    <w:rsid w:val="31307C12"/>
    <w:rsid w:val="31344F9A"/>
    <w:rsid w:val="31382C05"/>
    <w:rsid w:val="313B0ADD"/>
    <w:rsid w:val="31441374"/>
    <w:rsid w:val="314A017C"/>
    <w:rsid w:val="315B2DDE"/>
    <w:rsid w:val="3165438C"/>
    <w:rsid w:val="316E6135"/>
    <w:rsid w:val="31732B2A"/>
    <w:rsid w:val="317E21F2"/>
    <w:rsid w:val="31826567"/>
    <w:rsid w:val="3198567D"/>
    <w:rsid w:val="31A86E44"/>
    <w:rsid w:val="31A95E08"/>
    <w:rsid w:val="31AC059A"/>
    <w:rsid w:val="31AD108A"/>
    <w:rsid w:val="31C021A3"/>
    <w:rsid w:val="31D91FEE"/>
    <w:rsid w:val="31DC0867"/>
    <w:rsid w:val="31E95788"/>
    <w:rsid w:val="31F13D45"/>
    <w:rsid w:val="31FB3C70"/>
    <w:rsid w:val="32051E0F"/>
    <w:rsid w:val="320B1856"/>
    <w:rsid w:val="32110F18"/>
    <w:rsid w:val="32116ADE"/>
    <w:rsid w:val="323A5E5E"/>
    <w:rsid w:val="324A33E2"/>
    <w:rsid w:val="32515A89"/>
    <w:rsid w:val="32527177"/>
    <w:rsid w:val="325A5253"/>
    <w:rsid w:val="32793F23"/>
    <w:rsid w:val="32863A4B"/>
    <w:rsid w:val="32980BF8"/>
    <w:rsid w:val="329F0951"/>
    <w:rsid w:val="32A325BE"/>
    <w:rsid w:val="32C4110E"/>
    <w:rsid w:val="32C644D7"/>
    <w:rsid w:val="32CB58E2"/>
    <w:rsid w:val="32CF7460"/>
    <w:rsid w:val="32D67637"/>
    <w:rsid w:val="32E02A29"/>
    <w:rsid w:val="32E87D7C"/>
    <w:rsid w:val="32F06C93"/>
    <w:rsid w:val="32F67C2E"/>
    <w:rsid w:val="330A2266"/>
    <w:rsid w:val="332058EA"/>
    <w:rsid w:val="33225F6B"/>
    <w:rsid w:val="33307CB6"/>
    <w:rsid w:val="33357044"/>
    <w:rsid w:val="33367E92"/>
    <w:rsid w:val="333E6C70"/>
    <w:rsid w:val="33425496"/>
    <w:rsid w:val="33453FBB"/>
    <w:rsid w:val="334B4DA9"/>
    <w:rsid w:val="33550D37"/>
    <w:rsid w:val="33557B37"/>
    <w:rsid w:val="33773329"/>
    <w:rsid w:val="339256F7"/>
    <w:rsid w:val="33B92232"/>
    <w:rsid w:val="33C63DFE"/>
    <w:rsid w:val="33CB4D61"/>
    <w:rsid w:val="33CB5D3F"/>
    <w:rsid w:val="33D202CF"/>
    <w:rsid w:val="33D971DD"/>
    <w:rsid w:val="33DE7B2A"/>
    <w:rsid w:val="33E52AA5"/>
    <w:rsid w:val="33E7708F"/>
    <w:rsid w:val="33F2097A"/>
    <w:rsid w:val="3406541F"/>
    <w:rsid w:val="3416034E"/>
    <w:rsid w:val="342D6C58"/>
    <w:rsid w:val="343D6EB0"/>
    <w:rsid w:val="34670994"/>
    <w:rsid w:val="34757967"/>
    <w:rsid w:val="34771F99"/>
    <w:rsid w:val="3482378B"/>
    <w:rsid w:val="349E7E82"/>
    <w:rsid w:val="34B35A3B"/>
    <w:rsid w:val="34C71CE8"/>
    <w:rsid w:val="34C96A14"/>
    <w:rsid w:val="34DC4869"/>
    <w:rsid w:val="34DD3E00"/>
    <w:rsid w:val="34E9159B"/>
    <w:rsid w:val="34E91AC4"/>
    <w:rsid w:val="34EB3A83"/>
    <w:rsid w:val="34EC31CF"/>
    <w:rsid w:val="34EF2CD7"/>
    <w:rsid w:val="34F6113E"/>
    <w:rsid w:val="3504192B"/>
    <w:rsid w:val="35466AB1"/>
    <w:rsid w:val="3548209C"/>
    <w:rsid w:val="3549383B"/>
    <w:rsid w:val="355142BE"/>
    <w:rsid w:val="355A435C"/>
    <w:rsid w:val="3560670A"/>
    <w:rsid w:val="35764912"/>
    <w:rsid w:val="35791955"/>
    <w:rsid w:val="3594189E"/>
    <w:rsid w:val="359D5C1F"/>
    <w:rsid w:val="35A03FBC"/>
    <w:rsid w:val="35A72F46"/>
    <w:rsid w:val="35AA05D4"/>
    <w:rsid w:val="35D92673"/>
    <w:rsid w:val="35E00ED2"/>
    <w:rsid w:val="35F922BA"/>
    <w:rsid w:val="36026E1B"/>
    <w:rsid w:val="36043179"/>
    <w:rsid w:val="36122A65"/>
    <w:rsid w:val="36146119"/>
    <w:rsid w:val="36257F6E"/>
    <w:rsid w:val="3659742C"/>
    <w:rsid w:val="36695011"/>
    <w:rsid w:val="366B1AAB"/>
    <w:rsid w:val="366D7B6A"/>
    <w:rsid w:val="367936E6"/>
    <w:rsid w:val="367B1D5A"/>
    <w:rsid w:val="367E7865"/>
    <w:rsid w:val="36820360"/>
    <w:rsid w:val="36A31D3A"/>
    <w:rsid w:val="36BE148B"/>
    <w:rsid w:val="36BE4098"/>
    <w:rsid w:val="36C12545"/>
    <w:rsid w:val="36C20644"/>
    <w:rsid w:val="36D3579F"/>
    <w:rsid w:val="36D41E79"/>
    <w:rsid w:val="36D6337D"/>
    <w:rsid w:val="36DB793D"/>
    <w:rsid w:val="36E67FB4"/>
    <w:rsid w:val="36F87105"/>
    <w:rsid w:val="370819CB"/>
    <w:rsid w:val="37101C1C"/>
    <w:rsid w:val="371D3108"/>
    <w:rsid w:val="372E4086"/>
    <w:rsid w:val="373B2FCF"/>
    <w:rsid w:val="373B4C94"/>
    <w:rsid w:val="377C5A41"/>
    <w:rsid w:val="37CB5D4D"/>
    <w:rsid w:val="37DF2AB8"/>
    <w:rsid w:val="37E57B2F"/>
    <w:rsid w:val="37E66B7E"/>
    <w:rsid w:val="37EF0069"/>
    <w:rsid w:val="37FA391F"/>
    <w:rsid w:val="381D2C74"/>
    <w:rsid w:val="382E45BB"/>
    <w:rsid w:val="382F02EC"/>
    <w:rsid w:val="38312C73"/>
    <w:rsid w:val="3832350E"/>
    <w:rsid w:val="38466014"/>
    <w:rsid w:val="38796E1E"/>
    <w:rsid w:val="38A37FDE"/>
    <w:rsid w:val="38B27E64"/>
    <w:rsid w:val="38C239C7"/>
    <w:rsid w:val="38D30462"/>
    <w:rsid w:val="38D3128E"/>
    <w:rsid w:val="38FB69B2"/>
    <w:rsid w:val="38FD49D5"/>
    <w:rsid w:val="39272B23"/>
    <w:rsid w:val="392C28D1"/>
    <w:rsid w:val="393D043E"/>
    <w:rsid w:val="39431295"/>
    <w:rsid w:val="39461578"/>
    <w:rsid w:val="39504E2E"/>
    <w:rsid w:val="395F37D3"/>
    <w:rsid w:val="396470B4"/>
    <w:rsid w:val="396554CC"/>
    <w:rsid w:val="396B075B"/>
    <w:rsid w:val="39713486"/>
    <w:rsid w:val="39793670"/>
    <w:rsid w:val="39C13738"/>
    <w:rsid w:val="39DB4009"/>
    <w:rsid w:val="39EC6954"/>
    <w:rsid w:val="39FC2DC9"/>
    <w:rsid w:val="3A0F1D33"/>
    <w:rsid w:val="3A140390"/>
    <w:rsid w:val="3A174780"/>
    <w:rsid w:val="3A3A5A9F"/>
    <w:rsid w:val="3A4F307E"/>
    <w:rsid w:val="3A924233"/>
    <w:rsid w:val="3AB75F2F"/>
    <w:rsid w:val="3AC80B51"/>
    <w:rsid w:val="3AF11756"/>
    <w:rsid w:val="3AF720AE"/>
    <w:rsid w:val="3AFB1C43"/>
    <w:rsid w:val="3AFB5ADD"/>
    <w:rsid w:val="3AFD0323"/>
    <w:rsid w:val="3B05003D"/>
    <w:rsid w:val="3B2C11EF"/>
    <w:rsid w:val="3B4815B9"/>
    <w:rsid w:val="3B592139"/>
    <w:rsid w:val="3B5E137E"/>
    <w:rsid w:val="3B753561"/>
    <w:rsid w:val="3B7B2907"/>
    <w:rsid w:val="3B853703"/>
    <w:rsid w:val="3BA65DD9"/>
    <w:rsid w:val="3BAE6D60"/>
    <w:rsid w:val="3BB24E24"/>
    <w:rsid w:val="3BC844B3"/>
    <w:rsid w:val="3BD02C66"/>
    <w:rsid w:val="3BDA70BA"/>
    <w:rsid w:val="3C0311D6"/>
    <w:rsid w:val="3C0C5597"/>
    <w:rsid w:val="3C1333DD"/>
    <w:rsid w:val="3C4247A7"/>
    <w:rsid w:val="3C47668D"/>
    <w:rsid w:val="3C632026"/>
    <w:rsid w:val="3C6A472E"/>
    <w:rsid w:val="3C7C61FF"/>
    <w:rsid w:val="3C7D3BC6"/>
    <w:rsid w:val="3C881174"/>
    <w:rsid w:val="3C88501A"/>
    <w:rsid w:val="3C8D58B7"/>
    <w:rsid w:val="3C96583F"/>
    <w:rsid w:val="3C990FF0"/>
    <w:rsid w:val="3CA564D9"/>
    <w:rsid w:val="3CA8347E"/>
    <w:rsid w:val="3CA848A1"/>
    <w:rsid w:val="3CB40B8A"/>
    <w:rsid w:val="3CB7229C"/>
    <w:rsid w:val="3CC94977"/>
    <w:rsid w:val="3CD25E32"/>
    <w:rsid w:val="3CD64756"/>
    <w:rsid w:val="3CD8586C"/>
    <w:rsid w:val="3CE51D9C"/>
    <w:rsid w:val="3CF25446"/>
    <w:rsid w:val="3D041C5A"/>
    <w:rsid w:val="3D1A3790"/>
    <w:rsid w:val="3D1F3D49"/>
    <w:rsid w:val="3D292847"/>
    <w:rsid w:val="3D2C2654"/>
    <w:rsid w:val="3D2E5372"/>
    <w:rsid w:val="3D324BC0"/>
    <w:rsid w:val="3D42363C"/>
    <w:rsid w:val="3D494DE5"/>
    <w:rsid w:val="3D4A7C27"/>
    <w:rsid w:val="3D5B6A76"/>
    <w:rsid w:val="3D5C12D9"/>
    <w:rsid w:val="3D6071D0"/>
    <w:rsid w:val="3D672C6B"/>
    <w:rsid w:val="3D693821"/>
    <w:rsid w:val="3D9379CE"/>
    <w:rsid w:val="3D960608"/>
    <w:rsid w:val="3DAE30B8"/>
    <w:rsid w:val="3DB34BE3"/>
    <w:rsid w:val="3DB83C6B"/>
    <w:rsid w:val="3DD63D2F"/>
    <w:rsid w:val="3DE078DC"/>
    <w:rsid w:val="3DF55106"/>
    <w:rsid w:val="3DFE01DD"/>
    <w:rsid w:val="3E162130"/>
    <w:rsid w:val="3E1912E3"/>
    <w:rsid w:val="3E1F464F"/>
    <w:rsid w:val="3E7354D2"/>
    <w:rsid w:val="3E7C36BC"/>
    <w:rsid w:val="3E8948E7"/>
    <w:rsid w:val="3E90041B"/>
    <w:rsid w:val="3EA82C50"/>
    <w:rsid w:val="3EB50DBC"/>
    <w:rsid w:val="3ED24DC4"/>
    <w:rsid w:val="3EF35FD1"/>
    <w:rsid w:val="3EF87A5F"/>
    <w:rsid w:val="3EFD7CA0"/>
    <w:rsid w:val="3F0332E0"/>
    <w:rsid w:val="3F421343"/>
    <w:rsid w:val="3F577DB9"/>
    <w:rsid w:val="3F656B25"/>
    <w:rsid w:val="3F674CF4"/>
    <w:rsid w:val="3F6B7775"/>
    <w:rsid w:val="3F6F6BB6"/>
    <w:rsid w:val="3F717A0B"/>
    <w:rsid w:val="3F7932B4"/>
    <w:rsid w:val="3F7934B6"/>
    <w:rsid w:val="3F7B2D04"/>
    <w:rsid w:val="3F84149A"/>
    <w:rsid w:val="3F9571A1"/>
    <w:rsid w:val="3F996B18"/>
    <w:rsid w:val="3F9B5400"/>
    <w:rsid w:val="400176C7"/>
    <w:rsid w:val="40070627"/>
    <w:rsid w:val="400F4519"/>
    <w:rsid w:val="40195C26"/>
    <w:rsid w:val="404F5258"/>
    <w:rsid w:val="40524A58"/>
    <w:rsid w:val="407301F2"/>
    <w:rsid w:val="408609F7"/>
    <w:rsid w:val="408B29D9"/>
    <w:rsid w:val="409C1721"/>
    <w:rsid w:val="40BD6D12"/>
    <w:rsid w:val="40C77A81"/>
    <w:rsid w:val="40DD78E1"/>
    <w:rsid w:val="40E63752"/>
    <w:rsid w:val="41055AE1"/>
    <w:rsid w:val="411317A6"/>
    <w:rsid w:val="411B1CDC"/>
    <w:rsid w:val="412E1DAA"/>
    <w:rsid w:val="413F5EA3"/>
    <w:rsid w:val="41466259"/>
    <w:rsid w:val="41496F27"/>
    <w:rsid w:val="41682501"/>
    <w:rsid w:val="41736F5C"/>
    <w:rsid w:val="417F2F52"/>
    <w:rsid w:val="417F585D"/>
    <w:rsid w:val="4189241B"/>
    <w:rsid w:val="419806C3"/>
    <w:rsid w:val="41A6380D"/>
    <w:rsid w:val="41D61D1D"/>
    <w:rsid w:val="42057D77"/>
    <w:rsid w:val="422738C3"/>
    <w:rsid w:val="42390898"/>
    <w:rsid w:val="424118A2"/>
    <w:rsid w:val="42416159"/>
    <w:rsid w:val="424A08D7"/>
    <w:rsid w:val="426412FB"/>
    <w:rsid w:val="428315EA"/>
    <w:rsid w:val="42A14746"/>
    <w:rsid w:val="42E05902"/>
    <w:rsid w:val="42E36A7B"/>
    <w:rsid w:val="42E44A4C"/>
    <w:rsid w:val="42E8056A"/>
    <w:rsid w:val="42F92D00"/>
    <w:rsid w:val="43016455"/>
    <w:rsid w:val="43316C0F"/>
    <w:rsid w:val="43530909"/>
    <w:rsid w:val="435C4FF6"/>
    <w:rsid w:val="439413D7"/>
    <w:rsid w:val="43A1519F"/>
    <w:rsid w:val="43B54D0F"/>
    <w:rsid w:val="43BE3027"/>
    <w:rsid w:val="43C15DFB"/>
    <w:rsid w:val="43C652BF"/>
    <w:rsid w:val="43CD103D"/>
    <w:rsid w:val="43DD35EA"/>
    <w:rsid w:val="43EF6EE9"/>
    <w:rsid w:val="43F705E8"/>
    <w:rsid w:val="44033452"/>
    <w:rsid w:val="440B6474"/>
    <w:rsid w:val="442824C6"/>
    <w:rsid w:val="442B0F07"/>
    <w:rsid w:val="44342587"/>
    <w:rsid w:val="44413E06"/>
    <w:rsid w:val="44497462"/>
    <w:rsid w:val="44541C81"/>
    <w:rsid w:val="4454749F"/>
    <w:rsid w:val="445C1F94"/>
    <w:rsid w:val="445C6A3D"/>
    <w:rsid w:val="446963F8"/>
    <w:rsid w:val="44706FAB"/>
    <w:rsid w:val="44740E38"/>
    <w:rsid w:val="449A77E3"/>
    <w:rsid w:val="44A05899"/>
    <w:rsid w:val="44B15D2C"/>
    <w:rsid w:val="44CC0BB8"/>
    <w:rsid w:val="44D33A7E"/>
    <w:rsid w:val="44D6272F"/>
    <w:rsid w:val="44DA3474"/>
    <w:rsid w:val="44E2169C"/>
    <w:rsid w:val="44E95F9F"/>
    <w:rsid w:val="44EC1F0F"/>
    <w:rsid w:val="450413AF"/>
    <w:rsid w:val="45050968"/>
    <w:rsid w:val="454761F0"/>
    <w:rsid w:val="454B2F63"/>
    <w:rsid w:val="455E5A0A"/>
    <w:rsid w:val="45602602"/>
    <w:rsid w:val="45636209"/>
    <w:rsid w:val="456A75E9"/>
    <w:rsid w:val="456C00B7"/>
    <w:rsid w:val="45830284"/>
    <w:rsid w:val="45862CFA"/>
    <w:rsid w:val="45AB4975"/>
    <w:rsid w:val="45D13935"/>
    <w:rsid w:val="45DC51AC"/>
    <w:rsid w:val="45F433AC"/>
    <w:rsid w:val="4618674E"/>
    <w:rsid w:val="4624335D"/>
    <w:rsid w:val="462521CC"/>
    <w:rsid w:val="46332422"/>
    <w:rsid w:val="464440C6"/>
    <w:rsid w:val="465562ED"/>
    <w:rsid w:val="46572247"/>
    <w:rsid w:val="466E6887"/>
    <w:rsid w:val="46776CB1"/>
    <w:rsid w:val="467A0338"/>
    <w:rsid w:val="46853D5E"/>
    <w:rsid w:val="46C47B31"/>
    <w:rsid w:val="46C51579"/>
    <w:rsid w:val="46C86AD4"/>
    <w:rsid w:val="46EC03F1"/>
    <w:rsid w:val="47067956"/>
    <w:rsid w:val="47316D24"/>
    <w:rsid w:val="47390DD7"/>
    <w:rsid w:val="47427D89"/>
    <w:rsid w:val="4760723B"/>
    <w:rsid w:val="47652F87"/>
    <w:rsid w:val="478F6A2A"/>
    <w:rsid w:val="479B7364"/>
    <w:rsid w:val="47B57EB8"/>
    <w:rsid w:val="47C72371"/>
    <w:rsid w:val="47CB314F"/>
    <w:rsid w:val="47CD1225"/>
    <w:rsid w:val="47CE51B8"/>
    <w:rsid w:val="47D95ACD"/>
    <w:rsid w:val="48007C13"/>
    <w:rsid w:val="48047F23"/>
    <w:rsid w:val="4810060F"/>
    <w:rsid w:val="483928D5"/>
    <w:rsid w:val="484A11E1"/>
    <w:rsid w:val="484A2863"/>
    <w:rsid w:val="4856702D"/>
    <w:rsid w:val="485B2543"/>
    <w:rsid w:val="48697299"/>
    <w:rsid w:val="487C51D1"/>
    <w:rsid w:val="488237C4"/>
    <w:rsid w:val="4885306A"/>
    <w:rsid w:val="48865A2A"/>
    <w:rsid w:val="48A80BDE"/>
    <w:rsid w:val="48A912DC"/>
    <w:rsid w:val="48AF1C98"/>
    <w:rsid w:val="48CA6801"/>
    <w:rsid w:val="48F76085"/>
    <w:rsid w:val="48F77EEA"/>
    <w:rsid w:val="490F4956"/>
    <w:rsid w:val="49122F4A"/>
    <w:rsid w:val="491249BF"/>
    <w:rsid w:val="4918322E"/>
    <w:rsid w:val="49243FDA"/>
    <w:rsid w:val="492C52FE"/>
    <w:rsid w:val="493E22E0"/>
    <w:rsid w:val="495B11AF"/>
    <w:rsid w:val="4985182A"/>
    <w:rsid w:val="498E667D"/>
    <w:rsid w:val="49AA373E"/>
    <w:rsid w:val="49B07D1F"/>
    <w:rsid w:val="49C123FF"/>
    <w:rsid w:val="49C83A6B"/>
    <w:rsid w:val="49DC62E5"/>
    <w:rsid w:val="49E83E4D"/>
    <w:rsid w:val="49F10A95"/>
    <w:rsid w:val="4A293965"/>
    <w:rsid w:val="4A2B2653"/>
    <w:rsid w:val="4A3848BE"/>
    <w:rsid w:val="4A3934B6"/>
    <w:rsid w:val="4A3F6191"/>
    <w:rsid w:val="4A5A2BC4"/>
    <w:rsid w:val="4A5D654D"/>
    <w:rsid w:val="4A6A18B1"/>
    <w:rsid w:val="4A6E63B4"/>
    <w:rsid w:val="4A8D4CE9"/>
    <w:rsid w:val="4A9D34FD"/>
    <w:rsid w:val="4AB1141C"/>
    <w:rsid w:val="4AC251C7"/>
    <w:rsid w:val="4AC85FBA"/>
    <w:rsid w:val="4ACB0F7B"/>
    <w:rsid w:val="4AE85E51"/>
    <w:rsid w:val="4AF23A4B"/>
    <w:rsid w:val="4B0C2965"/>
    <w:rsid w:val="4B0C36B7"/>
    <w:rsid w:val="4B1A4843"/>
    <w:rsid w:val="4B2C161F"/>
    <w:rsid w:val="4B2F3BB7"/>
    <w:rsid w:val="4B4031BB"/>
    <w:rsid w:val="4B46070A"/>
    <w:rsid w:val="4B497B1D"/>
    <w:rsid w:val="4BCB6A12"/>
    <w:rsid w:val="4BD638BC"/>
    <w:rsid w:val="4BE112F5"/>
    <w:rsid w:val="4C116940"/>
    <w:rsid w:val="4C3B20D5"/>
    <w:rsid w:val="4C503542"/>
    <w:rsid w:val="4C604B23"/>
    <w:rsid w:val="4C66537A"/>
    <w:rsid w:val="4C8D0F25"/>
    <w:rsid w:val="4C9E00D5"/>
    <w:rsid w:val="4CA93FE7"/>
    <w:rsid w:val="4CB3718F"/>
    <w:rsid w:val="4CC73D04"/>
    <w:rsid w:val="4CCC71A2"/>
    <w:rsid w:val="4CD30358"/>
    <w:rsid w:val="4CD714F8"/>
    <w:rsid w:val="4CE847C0"/>
    <w:rsid w:val="4CFC40A5"/>
    <w:rsid w:val="4CFF09CE"/>
    <w:rsid w:val="4D0F45CA"/>
    <w:rsid w:val="4D1261E3"/>
    <w:rsid w:val="4D1D3267"/>
    <w:rsid w:val="4D3C4C31"/>
    <w:rsid w:val="4D4637E8"/>
    <w:rsid w:val="4D6032CB"/>
    <w:rsid w:val="4D7A0510"/>
    <w:rsid w:val="4D846984"/>
    <w:rsid w:val="4D862B9F"/>
    <w:rsid w:val="4D97791C"/>
    <w:rsid w:val="4DC61325"/>
    <w:rsid w:val="4DCB20FA"/>
    <w:rsid w:val="4DCD184E"/>
    <w:rsid w:val="4DD14836"/>
    <w:rsid w:val="4DEB5110"/>
    <w:rsid w:val="4DF37B57"/>
    <w:rsid w:val="4DFF7277"/>
    <w:rsid w:val="4E124AA8"/>
    <w:rsid w:val="4E2A27E0"/>
    <w:rsid w:val="4E457CEA"/>
    <w:rsid w:val="4E530068"/>
    <w:rsid w:val="4E566E2E"/>
    <w:rsid w:val="4E7C0A01"/>
    <w:rsid w:val="4E9E55A5"/>
    <w:rsid w:val="4EB33D2F"/>
    <w:rsid w:val="4EBF78E8"/>
    <w:rsid w:val="4ECB3901"/>
    <w:rsid w:val="4ED97E68"/>
    <w:rsid w:val="4EDF130E"/>
    <w:rsid w:val="4EEB0D9B"/>
    <w:rsid w:val="4F010AFF"/>
    <w:rsid w:val="4F0B638B"/>
    <w:rsid w:val="4F203EF6"/>
    <w:rsid w:val="4F213800"/>
    <w:rsid w:val="4F262BB0"/>
    <w:rsid w:val="4F265420"/>
    <w:rsid w:val="4F2660B1"/>
    <w:rsid w:val="4F376A46"/>
    <w:rsid w:val="4F420DC5"/>
    <w:rsid w:val="4F4F6A55"/>
    <w:rsid w:val="4F5C4873"/>
    <w:rsid w:val="4F6319E2"/>
    <w:rsid w:val="4F7220D7"/>
    <w:rsid w:val="4F94029F"/>
    <w:rsid w:val="4F9F18C4"/>
    <w:rsid w:val="4FB91C17"/>
    <w:rsid w:val="4FC26353"/>
    <w:rsid w:val="4FCE1008"/>
    <w:rsid w:val="4FD82B4E"/>
    <w:rsid w:val="4FDB3A5A"/>
    <w:rsid w:val="4FE35179"/>
    <w:rsid w:val="500C56B0"/>
    <w:rsid w:val="50396A57"/>
    <w:rsid w:val="50466B2B"/>
    <w:rsid w:val="504D7E92"/>
    <w:rsid w:val="50541DED"/>
    <w:rsid w:val="50711581"/>
    <w:rsid w:val="5075690A"/>
    <w:rsid w:val="50845823"/>
    <w:rsid w:val="50850C25"/>
    <w:rsid w:val="508B6F3F"/>
    <w:rsid w:val="509478DF"/>
    <w:rsid w:val="50C034E2"/>
    <w:rsid w:val="50C743FD"/>
    <w:rsid w:val="50CC169C"/>
    <w:rsid w:val="50CD4B6D"/>
    <w:rsid w:val="50D2545A"/>
    <w:rsid w:val="51385965"/>
    <w:rsid w:val="513B4CED"/>
    <w:rsid w:val="513C115E"/>
    <w:rsid w:val="513C1D3F"/>
    <w:rsid w:val="51441908"/>
    <w:rsid w:val="51492EA8"/>
    <w:rsid w:val="514D253E"/>
    <w:rsid w:val="51D04107"/>
    <w:rsid w:val="51E1344E"/>
    <w:rsid w:val="520D1444"/>
    <w:rsid w:val="520E5A8B"/>
    <w:rsid w:val="52150FA2"/>
    <w:rsid w:val="521B6116"/>
    <w:rsid w:val="523074B3"/>
    <w:rsid w:val="5267216C"/>
    <w:rsid w:val="526D6DF8"/>
    <w:rsid w:val="52740DEE"/>
    <w:rsid w:val="528A7084"/>
    <w:rsid w:val="52947C2F"/>
    <w:rsid w:val="52AF2BFF"/>
    <w:rsid w:val="52B2488E"/>
    <w:rsid w:val="52D7235E"/>
    <w:rsid w:val="52FA22B5"/>
    <w:rsid w:val="52FC0C17"/>
    <w:rsid w:val="53384793"/>
    <w:rsid w:val="5338550A"/>
    <w:rsid w:val="53430C6E"/>
    <w:rsid w:val="534450C1"/>
    <w:rsid w:val="535465FC"/>
    <w:rsid w:val="53707F16"/>
    <w:rsid w:val="538F7CA6"/>
    <w:rsid w:val="53911EB8"/>
    <w:rsid w:val="53AA23BA"/>
    <w:rsid w:val="53B2033B"/>
    <w:rsid w:val="53C52BE5"/>
    <w:rsid w:val="53C82AAA"/>
    <w:rsid w:val="53CF5812"/>
    <w:rsid w:val="53E44CED"/>
    <w:rsid w:val="53E4731C"/>
    <w:rsid w:val="54005560"/>
    <w:rsid w:val="54184AD0"/>
    <w:rsid w:val="543A54D2"/>
    <w:rsid w:val="54655C40"/>
    <w:rsid w:val="547F4281"/>
    <w:rsid w:val="54B15227"/>
    <w:rsid w:val="54B941E0"/>
    <w:rsid w:val="54C03721"/>
    <w:rsid w:val="54C55386"/>
    <w:rsid w:val="54C936FC"/>
    <w:rsid w:val="54CA1DDB"/>
    <w:rsid w:val="54CC0BEA"/>
    <w:rsid w:val="54CD4288"/>
    <w:rsid w:val="54E63AC3"/>
    <w:rsid w:val="551A5B65"/>
    <w:rsid w:val="5526301E"/>
    <w:rsid w:val="552D10FD"/>
    <w:rsid w:val="552F1470"/>
    <w:rsid w:val="5530307D"/>
    <w:rsid w:val="553D6B30"/>
    <w:rsid w:val="55401D7B"/>
    <w:rsid w:val="554E3321"/>
    <w:rsid w:val="555C7C35"/>
    <w:rsid w:val="55740D7C"/>
    <w:rsid w:val="55984EB7"/>
    <w:rsid w:val="55B34CE8"/>
    <w:rsid w:val="55D71DD7"/>
    <w:rsid w:val="55E20EC6"/>
    <w:rsid w:val="55F50868"/>
    <w:rsid w:val="55F71A84"/>
    <w:rsid w:val="56085DA7"/>
    <w:rsid w:val="560B3D6F"/>
    <w:rsid w:val="5610770D"/>
    <w:rsid w:val="561900F6"/>
    <w:rsid w:val="562A5089"/>
    <w:rsid w:val="56375370"/>
    <w:rsid w:val="56786D1A"/>
    <w:rsid w:val="568E712A"/>
    <w:rsid w:val="569C4447"/>
    <w:rsid w:val="56AB56F5"/>
    <w:rsid w:val="56B36C1D"/>
    <w:rsid w:val="56B81962"/>
    <w:rsid w:val="56BB7CB0"/>
    <w:rsid w:val="56C00F06"/>
    <w:rsid w:val="56D3450F"/>
    <w:rsid w:val="56DC51DA"/>
    <w:rsid w:val="57011642"/>
    <w:rsid w:val="5722431C"/>
    <w:rsid w:val="574527A1"/>
    <w:rsid w:val="574D4F8C"/>
    <w:rsid w:val="576B73D9"/>
    <w:rsid w:val="576F5504"/>
    <w:rsid w:val="577554D3"/>
    <w:rsid w:val="5786761D"/>
    <w:rsid w:val="578B4841"/>
    <w:rsid w:val="57A850C3"/>
    <w:rsid w:val="57B67E09"/>
    <w:rsid w:val="57B86410"/>
    <w:rsid w:val="57CB6D0D"/>
    <w:rsid w:val="57D6004A"/>
    <w:rsid w:val="57DD3253"/>
    <w:rsid w:val="57EF3597"/>
    <w:rsid w:val="57FB6728"/>
    <w:rsid w:val="58316A97"/>
    <w:rsid w:val="58323CF7"/>
    <w:rsid w:val="58360D48"/>
    <w:rsid w:val="5837196A"/>
    <w:rsid w:val="58377673"/>
    <w:rsid w:val="58475A16"/>
    <w:rsid w:val="58566178"/>
    <w:rsid w:val="58571695"/>
    <w:rsid w:val="58617C07"/>
    <w:rsid w:val="58803EAC"/>
    <w:rsid w:val="5880743A"/>
    <w:rsid w:val="589235FD"/>
    <w:rsid w:val="58A0400D"/>
    <w:rsid w:val="58A6027D"/>
    <w:rsid w:val="58A814B1"/>
    <w:rsid w:val="58BC0EE7"/>
    <w:rsid w:val="58FE1BEF"/>
    <w:rsid w:val="592012AD"/>
    <w:rsid w:val="592E582E"/>
    <w:rsid w:val="59682F77"/>
    <w:rsid w:val="599C0F1E"/>
    <w:rsid w:val="59A41B8E"/>
    <w:rsid w:val="59B22F2F"/>
    <w:rsid w:val="59B67339"/>
    <w:rsid w:val="59D10E17"/>
    <w:rsid w:val="59E31398"/>
    <w:rsid w:val="59E7059E"/>
    <w:rsid w:val="59EC4D12"/>
    <w:rsid w:val="59F020BB"/>
    <w:rsid w:val="5A0E1E35"/>
    <w:rsid w:val="5A1B1F3F"/>
    <w:rsid w:val="5A2B3B86"/>
    <w:rsid w:val="5A313D1D"/>
    <w:rsid w:val="5A332CF6"/>
    <w:rsid w:val="5A414BC6"/>
    <w:rsid w:val="5A463E0D"/>
    <w:rsid w:val="5A575F88"/>
    <w:rsid w:val="5A713E42"/>
    <w:rsid w:val="5A73064A"/>
    <w:rsid w:val="5A9A01E8"/>
    <w:rsid w:val="5AA579A2"/>
    <w:rsid w:val="5AC31BA6"/>
    <w:rsid w:val="5AC43EAA"/>
    <w:rsid w:val="5ACF02DC"/>
    <w:rsid w:val="5AD054F1"/>
    <w:rsid w:val="5AE60824"/>
    <w:rsid w:val="5AF3756C"/>
    <w:rsid w:val="5AF9247A"/>
    <w:rsid w:val="5B083526"/>
    <w:rsid w:val="5B2572A4"/>
    <w:rsid w:val="5B2D291F"/>
    <w:rsid w:val="5B2E7FF6"/>
    <w:rsid w:val="5B757559"/>
    <w:rsid w:val="5B8106D5"/>
    <w:rsid w:val="5B877E0E"/>
    <w:rsid w:val="5B9249AA"/>
    <w:rsid w:val="5B98291F"/>
    <w:rsid w:val="5BBD5A60"/>
    <w:rsid w:val="5BD51F40"/>
    <w:rsid w:val="5BD66619"/>
    <w:rsid w:val="5BD72822"/>
    <w:rsid w:val="5C0E57D6"/>
    <w:rsid w:val="5C176CB0"/>
    <w:rsid w:val="5C4349F1"/>
    <w:rsid w:val="5C5D5F21"/>
    <w:rsid w:val="5C670EFC"/>
    <w:rsid w:val="5C675FB5"/>
    <w:rsid w:val="5C761758"/>
    <w:rsid w:val="5C8C079D"/>
    <w:rsid w:val="5C957A63"/>
    <w:rsid w:val="5CBD3191"/>
    <w:rsid w:val="5CD6133B"/>
    <w:rsid w:val="5CE43203"/>
    <w:rsid w:val="5CE44891"/>
    <w:rsid w:val="5CEB2E37"/>
    <w:rsid w:val="5D004B3D"/>
    <w:rsid w:val="5D077007"/>
    <w:rsid w:val="5D11495E"/>
    <w:rsid w:val="5D1A27F1"/>
    <w:rsid w:val="5D1A3AD4"/>
    <w:rsid w:val="5D2B79E7"/>
    <w:rsid w:val="5D3044D2"/>
    <w:rsid w:val="5D3141B9"/>
    <w:rsid w:val="5D33362B"/>
    <w:rsid w:val="5D5C17C4"/>
    <w:rsid w:val="5D5F0429"/>
    <w:rsid w:val="5D6637EF"/>
    <w:rsid w:val="5D6758B0"/>
    <w:rsid w:val="5D957EE0"/>
    <w:rsid w:val="5D994E4C"/>
    <w:rsid w:val="5DA14E5D"/>
    <w:rsid w:val="5DA4363A"/>
    <w:rsid w:val="5DAB0A07"/>
    <w:rsid w:val="5DB56411"/>
    <w:rsid w:val="5DBF573F"/>
    <w:rsid w:val="5DC661F7"/>
    <w:rsid w:val="5E0D38C2"/>
    <w:rsid w:val="5E1654B9"/>
    <w:rsid w:val="5E254CFD"/>
    <w:rsid w:val="5E287FCF"/>
    <w:rsid w:val="5E5B23FF"/>
    <w:rsid w:val="5E6B24AB"/>
    <w:rsid w:val="5E9A5538"/>
    <w:rsid w:val="5EA555D1"/>
    <w:rsid w:val="5EAD4B7B"/>
    <w:rsid w:val="5EB86C3A"/>
    <w:rsid w:val="5ED07D96"/>
    <w:rsid w:val="5ED25371"/>
    <w:rsid w:val="5EED47F1"/>
    <w:rsid w:val="5EF06511"/>
    <w:rsid w:val="5F037BAF"/>
    <w:rsid w:val="5F0C102B"/>
    <w:rsid w:val="5F105E5C"/>
    <w:rsid w:val="5F123748"/>
    <w:rsid w:val="5F2A4E86"/>
    <w:rsid w:val="5F304D16"/>
    <w:rsid w:val="5F307C07"/>
    <w:rsid w:val="5F435537"/>
    <w:rsid w:val="5F792E5B"/>
    <w:rsid w:val="5F7C17B2"/>
    <w:rsid w:val="5F8262B5"/>
    <w:rsid w:val="5F8A758F"/>
    <w:rsid w:val="5F8B5A7E"/>
    <w:rsid w:val="5F922082"/>
    <w:rsid w:val="5FB26C17"/>
    <w:rsid w:val="5FB827B5"/>
    <w:rsid w:val="5FBB14A3"/>
    <w:rsid w:val="5FBD7514"/>
    <w:rsid w:val="5FCE3105"/>
    <w:rsid w:val="5FF833D4"/>
    <w:rsid w:val="60090E72"/>
    <w:rsid w:val="602009CB"/>
    <w:rsid w:val="605F448D"/>
    <w:rsid w:val="60665FCC"/>
    <w:rsid w:val="607709AE"/>
    <w:rsid w:val="60952AC7"/>
    <w:rsid w:val="609B2B6C"/>
    <w:rsid w:val="609C372A"/>
    <w:rsid w:val="60A40743"/>
    <w:rsid w:val="60B11A26"/>
    <w:rsid w:val="60B462AA"/>
    <w:rsid w:val="60D16045"/>
    <w:rsid w:val="60D41281"/>
    <w:rsid w:val="60D602A5"/>
    <w:rsid w:val="60E10F1E"/>
    <w:rsid w:val="60F92A85"/>
    <w:rsid w:val="60FE7E76"/>
    <w:rsid w:val="61073663"/>
    <w:rsid w:val="61094F6A"/>
    <w:rsid w:val="610A1F4E"/>
    <w:rsid w:val="61181351"/>
    <w:rsid w:val="61281645"/>
    <w:rsid w:val="612B282D"/>
    <w:rsid w:val="61391A2A"/>
    <w:rsid w:val="61563B6C"/>
    <w:rsid w:val="615B2EC6"/>
    <w:rsid w:val="616211C9"/>
    <w:rsid w:val="618C1000"/>
    <w:rsid w:val="619E2351"/>
    <w:rsid w:val="61A21260"/>
    <w:rsid w:val="61AA1EF0"/>
    <w:rsid w:val="61C745FB"/>
    <w:rsid w:val="61DA2D62"/>
    <w:rsid w:val="61E3749A"/>
    <w:rsid w:val="620E0023"/>
    <w:rsid w:val="62174C00"/>
    <w:rsid w:val="62284564"/>
    <w:rsid w:val="624B34A4"/>
    <w:rsid w:val="624E5726"/>
    <w:rsid w:val="6250602E"/>
    <w:rsid w:val="627320A1"/>
    <w:rsid w:val="62743BF4"/>
    <w:rsid w:val="627A27A3"/>
    <w:rsid w:val="628D1494"/>
    <w:rsid w:val="628F1758"/>
    <w:rsid w:val="62942354"/>
    <w:rsid w:val="62AB7EC3"/>
    <w:rsid w:val="62B21A3D"/>
    <w:rsid w:val="62BF6157"/>
    <w:rsid w:val="62C36635"/>
    <w:rsid w:val="62D11BCA"/>
    <w:rsid w:val="62D639AA"/>
    <w:rsid w:val="62E35088"/>
    <w:rsid w:val="62F06D6A"/>
    <w:rsid w:val="62F21955"/>
    <w:rsid w:val="62F53444"/>
    <w:rsid w:val="630351C1"/>
    <w:rsid w:val="63056DDA"/>
    <w:rsid w:val="63096E9A"/>
    <w:rsid w:val="6323150D"/>
    <w:rsid w:val="633329E7"/>
    <w:rsid w:val="633F297D"/>
    <w:rsid w:val="63445649"/>
    <w:rsid w:val="634B3BA2"/>
    <w:rsid w:val="635F0819"/>
    <w:rsid w:val="63622D9C"/>
    <w:rsid w:val="636F5042"/>
    <w:rsid w:val="63871EA0"/>
    <w:rsid w:val="638736AC"/>
    <w:rsid w:val="638C45D4"/>
    <w:rsid w:val="63901A08"/>
    <w:rsid w:val="63A31B7F"/>
    <w:rsid w:val="63AB474D"/>
    <w:rsid w:val="63BE7921"/>
    <w:rsid w:val="63C138B9"/>
    <w:rsid w:val="63C265EB"/>
    <w:rsid w:val="63CA5FA4"/>
    <w:rsid w:val="63CE0446"/>
    <w:rsid w:val="63D54D12"/>
    <w:rsid w:val="63DE4A05"/>
    <w:rsid w:val="63E760AB"/>
    <w:rsid w:val="641A06EB"/>
    <w:rsid w:val="64285192"/>
    <w:rsid w:val="64681FB4"/>
    <w:rsid w:val="64702A84"/>
    <w:rsid w:val="64834622"/>
    <w:rsid w:val="6494213E"/>
    <w:rsid w:val="64B42763"/>
    <w:rsid w:val="64D555E7"/>
    <w:rsid w:val="64ED28E2"/>
    <w:rsid w:val="651A66C7"/>
    <w:rsid w:val="651D6F1E"/>
    <w:rsid w:val="652476BB"/>
    <w:rsid w:val="654B25C5"/>
    <w:rsid w:val="65555172"/>
    <w:rsid w:val="655F0CAA"/>
    <w:rsid w:val="65673B0D"/>
    <w:rsid w:val="65710322"/>
    <w:rsid w:val="65780BAD"/>
    <w:rsid w:val="65846AD0"/>
    <w:rsid w:val="65851A4C"/>
    <w:rsid w:val="65855DBD"/>
    <w:rsid w:val="65952516"/>
    <w:rsid w:val="65AE455F"/>
    <w:rsid w:val="65BE4004"/>
    <w:rsid w:val="65D7149F"/>
    <w:rsid w:val="65EE59A7"/>
    <w:rsid w:val="661829FC"/>
    <w:rsid w:val="6653188D"/>
    <w:rsid w:val="66547416"/>
    <w:rsid w:val="66611CA3"/>
    <w:rsid w:val="66692034"/>
    <w:rsid w:val="66693A2F"/>
    <w:rsid w:val="666F1D05"/>
    <w:rsid w:val="66896DED"/>
    <w:rsid w:val="668A335E"/>
    <w:rsid w:val="669B5FED"/>
    <w:rsid w:val="669E3D92"/>
    <w:rsid w:val="66A217F6"/>
    <w:rsid w:val="66DB5BEE"/>
    <w:rsid w:val="670B71DF"/>
    <w:rsid w:val="67164A9C"/>
    <w:rsid w:val="671C7B4A"/>
    <w:rsid w:val="67265FE4"/>
    <w:rsid w:val="672A4685"/>
    <w:rsid w:val="673255A9"/>
    <w:rsid w:val="67474D0A"/>
    <w:rsid w:val="674A1197"/>
    <w:rsid w:val="674E612D"/>
    <w:rsid w:val="675C0302"/>
    <w:rsid w:val="677D42E7"/>
    <w:rsid w:val="679945BF"/>
    <w:rsid w:val="67B7436B"/>
    <w:rsid w:val="67DB7DB5"/>
    <w:rsid w:val="67DC6DFE"/>
    <w:rsid w:val="67E039BF"/>
    <w:rsid w:val="67E31067"/>
    <w:rsid w:val="67F151EA"/>
    <w:rsid w:val="6802743F"/>
    <w:rsid w:val="68057FCA"/>
    <w:rsid w:val="681F1062"/>
    <w:rsid w:val="68244932"/>
    <w:rsid w:val="682D3796"/>
    <w:rsid w:val="6835036E"/>
    <w:rsid w:val="68431938"/>
    <w:rsid w:val="68535870"/>
    <w:rsid w:val="686502E1"/>
    <w:rsid w:val="6888204C"/>
    <w:rsid w:val="688E7121"/>
    <w:rsid w:val="689478CA"/>
    <w:rsid w:val="68AC606E"/>
    <w:rsid w:val="68B34757"/>
    <w:rsid w:val="68BB3AC0"/>
    <w:rsid w:val="68CE07D2"/>
    <w:rsid w:val="68FB3052"/>
    <w:rsid w:val="68FF04A5"/>
    <w:rsid w:val="69156096"/>
    <w:rsid w:val="691D7184"/>
    <w:rsid w:val="692208C6"/>
    <w:rsid w:val="69482106"/>
    <w:rsid w:val="695C0187"/>
    <w:rsid w:val="69743BFC"/>
    <w:rsid w:val="698D0163"/>
    <w:rsid w:val="698D2A89"/>
    <w:rsid w:val="69984C70"/>
    <w:rsid w:val="69A25405"/>
    <w:rsid w:val="69BC3E1D"/>
    <w:rsid w:val="69DE526E"/>
    <w:rsid w:val="69EB6854"/>
    <w:rsid w:val="69EE768B"/>
    <w:rsid w:val="69EF3542"/>
    <w:rsid w:val="69F8032B"/>
    <w:rsid w:val="6A1C5A47"/>
    <w:rsid w:val="6A2F5BEC"/>
    <w:rsid w:val="6A3654D8"/>
    <w:rsid w:val="6A4F2662"/>
    <w:rsid w:val="6A5343C2"/>
    <w:rsid w:val="6A640E6B"/>
    <w:rsid w:val="6A7E4CB5"/>
    <w:rsid w:val="6AB324FE"/>
    <w:rsid w:val="6AB43137"/>
    <w:rsid w:val="6AC34362"/>
    <w:rsid w:val="6ACB3539"/>
    <w:rsid w:val="6ACF7244"/>
    <w:rsid w:val="6AD259C6"/>
    <w:rsid w:val="6AD26680"/>
    <w:rsid w:val="6AE46BB4"/>
    <w:rsid w:val="6AEF0385"/>
    <w:rsid w:val="6AF67A86"/>
    <w:rsid w:val="6B013110"/>
    <w:rsid w:val="6B042383"/>
    <w:rsid w:val="6B0E53C9"/>
    <w:rsid w:val="6B1B7312"/>
    <w:rsid w:val="6B20486B"/>
    <w:rsid w:val="6B230028"/>
    <w:rsid w:val="6B343E7E"/>
    <w:rsid w:val="6B43671A"/>
    <w:rsid w:val="6B445CD5"/>
    <w:rsid w:val="6B585541"/>
    <w:rsid w:val="6B645F6B"/>
    <w:rsid w:val="6BAB6AA1"/>
    <w:rsid w:val="6BC40BF9"/>
    <w:rsid w:val="6BC64E98"/>
    <w:rsid w:val="6BD60235"/>
    <w:rsid w:val="6BED0698"/>
    <w:rsid w:val="6BFA44E9"/>
    <w:rsid w:val="6BFD6E63"/>
    <w:rsid w:val="6C035363"/>
    <w:rsid w:val="6C0652CC"/>
    <w:rsid w:val="6C070F3E"/>
    <w:rsid w:val="6C1A4E64"/>
    <w:rsid w:val="6C1A6A0A"/>
    <w:rsid w:val="6C2023E6"/>
    <w:rsid w:val="6C280730"/>
    <w:rsid w:val="6C354691"/>
    <w:rsid w:val="6C500315"/>
    <w:rsid w:val="6C637CEB"/>
    <w:rsid w:val="6C7D2544"/>
    <w:rsid w:val="6C890EA9"/>
    <w:rsid w:val="6C9F2D94"/>
    <w:rsid w:val="6CDF7857"/>
    <w:rsid w:val="6CF908DA"/>
    <w:rsid w:val="6D06666B"/>
    <w:rsid w:val="6D11435B"/>
    <w:rsid w:val="6D496A1C"/>
    <w:rsid w:val="6D4A6E9E"/>
    <w:rsid w:val="6D7A38F3"/>
    <w:rsid w:val="6D9D25EC"/>
    <w:rsid w:val="6D9E7635"/>
    <w:rsid w:val="6DA64F01"/>
    <w:rsid w:val="6DAA55EA"/>
    <w:rsid w:val="6DB74DF5"/>
    <w:rsid w:val="6DD246B5"/>
    <w:rsid w:val="6DD365BB"/>
    <w:rsid w:val="6DD36B21"/>
    <w:rsid w:val="6DDF1F77"/>
    <w:rsid w:val="6DF32295"/>
    <w:rsid w:val="6DF464BF"/>
    <w:rsid w:val="6E14627D"/>
    <w:rsid w:val="6E16348A"/>
    <w:rsid w:val="6E1C7A6C"/>
    <w:rsid w:val="6E28390F"/>
    <w:rsid w:val="6E444F6F"/>
    <w:rsid w:val="6E737F59"/>
    <w:rsid w:val="6E764F0C"/>
    <w:rsid w:val="6E780728"/>
    <w:rsid w:val="6E80587A"/>
    <w:rsid w:val="6E9A048B"/>
    <w:rsid w:val="6EA33F41"/>
    <w:rsid w:val="6EA621E1"/>
    <w:rsid w:val="6EAC1AF2"/>
    <w:rsid w:val="6EAE1659"/>
    <w:rsid w:val="6EAE2051"/>
    <w:rsid w:val="6EC7426B"/>
    <w:rsid w:val="6EDB47E1"/>
    <w:rsid w:val="6EE855E3"/>
    <w:rsid w:val="6EEB59DC"/>
    <w:rsid w:val="6EF26A3E"/>
    <w:rsid w:val="6EF63FB3"/>
    <w:rsid w:val="6F05784A"/>
    <w:rsid w:val="6F100FC6"/>
    <w:rsid w:val="6F160F9F"/>
    <w:rsid w:val="6F165B30"/>
    <w:rsid w:val="6F281ABB"/>
    <w:rsid w:val="6F33514F"/>
    <w:rsid w:val="6F37724C"/>
    <w:rsid w:val="6F5F677A"/>
    <w:rsid w:val="6F7974C5"/>
    <w:rsid w:val="6F84620B"/>
    <w:rsid w:val="6F893AFA"/>
    <w:rsid w:val="6F8F7D4A"/>
    <w:rsid w:val="6F99407E"/>
    <w:rsid w:val="6FA870FE"/>
    <w:rsid w:val="6FAE7242"/>
    <w:rsid w:val="6FBA5B0E"/>
    <w:rsid w:val="6FCB09A5"/>
    <w:rsid w:val="6FED0F30"/>
    <w:rsid w:val="6FFE1B27"/>
    <w:rsid w:val="7003034D"/>
    <w:rsid w:val="700415B3"/>
    <w:rsid w:val="700729B3"/>
    <w:rsid w:val="700D1011"/>
    <w:rsid w:val="70110AE9"/>
    <w:rsid w:val="701A4972"/>
    <w:rsid w:val="7046133B"/>
    <w:rsid w:val="706D29CD"/>
    <w:rsid w:val="707A6513"/>
    <w:rsid w:val="707E39A5"/>
    <w:rsid w:val="707E5AD2"/>
    <w:rsid w:val="708C7EA0"/>
    <w:rsid w:val="709C1D3C"/>
    <w:rsid w:val="70A07913"/>
    <w:rsid w:val="70AD1625"/>
    <w:rsid w:val="70B44148"/>
    <w:rsid w:val="70DA2842"/>
    <w:rsid w:val="70DD7DBB"/>
    <w:rsid w:val="70E770DD"/>
    <w:rsid w:val="70EB3B66"/>
    <w:rsid w:val="70F4519E"/>
    <w:rsid w:val="70FB19E0"/>
    <w:rsid w:val="711744CA"/>
    <w:rsid w:val="711C1BDC"/>
    <w:rsid w:val="71330463"/>
    <w:rsid w:val="713D437E"/>
    <w:rsid w:val="71411D8A"/>
    <w:rsid w:val="71480778"/>
    <w:rsid w:val="718C4256"/>
    <w:rsid w:val="718C5054"/>
    <w:rsid w:val="718C51A4"/>
    <w:rsid w:val="7192759B"/>
    <w:rsid w:val="71991358"/>
    <w:rsid w:val="71A177C5"/>
    <w:rsid w:val="71AC4A22"/>
    <w:rsid w:val="71BC41BE"/>
    <w:rsid w:val="71C24A84"/>
    <w:rsid w:val="71D439AA"/>
    <w:rsid w:val="71DF1448"/>
    <w:rsid w:val="71E86B7E"/>
    <w:rsid w:val="71F10F00"/>
    <w:rsid w:val="72105AA6"/>
    <w:rsid w:val="721B0CBC"/>
    <w:rsid w:val="72254B2C"/>
    <w:rsid w:val="72425584"/>
    <w:rsid w:val="724A732C"/>
    <w:rsid w:val="724D670A"/>
    <w:rsid w:val="724E7097"/>
    <w:rsid w:val="7255507E"/>
    <w:rsid w:val="726138A6"/>
    <w:rsid w:val="7264741A"/>
    <w:rsid w:val="726E47CF"/>
    <w:rsid w:val="72765046"/>
    <w:rsid w:val="72AF0748"/>
    <w:rsid w:val="72ED1C24"/>
    <w:rsid w:val="72F72570"/>
    <w:rsid w:val="73404E51"/>
    <w:rsid w:val="734B228D"/>
    <w:rsid w:val="735C0ED0"/>
    <w:rsid w:val="735C5D51"/>
    <w:rsid w:val="737865B0"/>
    <w:rsid w:val="739D1DB6"/>
    <w:rsid w:val="73BC1E8B"/>
    <w:rsid w:val="73BE772E"/>
    <w:rsid w:val="73D07173"/>
    <w:rsid w:val="73D22E9B"/>
    <w:rsid w:val="73F13CB2"/>
    <w:rsid w:val="74097BFC"/>
    <w:rsid w:val="741D521A"/>
    <w:rsid w:val="742337C1"/>
    <w:rsid w:val="74385A3C"/>
    <w:rsid w:val="74396B34"/>
    <w:rsid w:val="743E239E"/>
    <w:rsid w:val="74470DB7"/>
    <w:rsid w:val="74553A5B"/>
    <w:rsid w:val="74692E6B"/>
    <w:rsid w:val="747C3F88"/>
    <w:rsid w:val="74815E71"/>
    <w:rsid w:val="74826F7E"/>
    <w:rsid w:val="74A119AD"/>
    <w:rsid w:val="74B5043A"/>
    <w:rsid w:val="74BE610F"/>
    <w:rsid w:val="74CA5DC0"/>
    <w:rsid w:val="74CF70F9"/>
    <w:rsid w:val="74D57F59"/>
    <w:rsid w:val="74E264EB"/>
    <w:rsid w:val="74F26EB1"/>
    <w:rsid w:val="74F57B5D"/>
    <w:rsid w:val="75280646"/>
    <w:rsid w:val="753B007D"/>
    <w:rsid w:val="753F504E"/>
    <w:rsid w:val="754A5F49"/>
    <w:rsid w:val="754D6957"/>
    <w:rsid w:val="756C7CDE"/>
    <w:rsid w:val="75943A97"/>
    <w:rsid w:val="759C1176"/>
    <w:rsid w:val="75A150A2"/>
    <w:rsid w:val="75B43F31"/>
    <w:rsid w:val="75D9097C"/>
    <w:rsid w:val="75FF533A"/>
    <w:rsid w:val="7600465B"/>
    <w:rsid w:val="76071221"/>
    <w:rsid w:val="760C2D10"/>
    <w:rsid w:val="76187156"/>
    <w:rsid w:val="76224F3A"/>
    <w:rsid w:val="763D41AB"/>
    <w:rsid w:val="765B66A7"/>
    <w:rsid w:val="766F1C47"/>
    <w:rsid w:val="76754787"/>
    <w:rsid w:val="76760222"/>
    <w:rsid w:val="76BE4BAE"/>
    <w:rsid w:val="76D05C5A"/>
    <w:rsid w:val="76E0500E"/>
    <w:rsid w:val="76E619E5"/>
    <w:rsid w:val="76FA4CE1"/>
    <w:rsid w:val="77152CD3"/>
    <w:rsid w:val="77183E8B"/>
    <w:rsid w:val="771D56E5"/>
    <w:rsid w:val="77386B65"/>
    <w:rsid w:val="77654D65"/>
    <w:rsid w:val="77724BAD"/>
    <w:rsid w:val="777828CF"/>
    <w:rsid w:val="778B4273"/>
    <w:rsid w:val="778B729F"/>
    <w:rsid w:val="77A75F96"/>
    <w:rsid w:val="77CB31BD"/>
    <w:rsid w:val="77E60B03"/>
    <w:rsid w:val="77FA3C2A"/>
    <w:rsid w:val="78174EEE"/>
    <w:rsid w:val="78226AF9"/>
    <w:rsid w:val="782A491D"/>
    <w:rsid w:val="782B76E9"/>
    <w:rsid w:val="7832065F"/>
    <w:rsid w:val="78416C7C"/>
    <w:rsid w:val="78647B16"/>
    <w:rsid w:val="78701810"/>
    <w:rsid w:val="78771044"/>
    <w:rsid w:val="78782398"/>
    <w:rsid w:val="78813750"/>
    <w:rsid w:val="78820DC9"/>
    <w:rsid w:val="7882268B"/>
    <w:rsid w:val="78974206"/>
    <w:rsid w:val="78A861BF"/>
    <w:rsid w:val="78AE5CB1"/>
    <w:rsid w:val="78CE599E"/>
    <w:rsid w:val="78D03002"/>
    <w:rsid w:val="78D840B7"/>
    <w:rsid w:val="78E11348"/>
    <w:rsid w:val="78FD24C5"/>
    <w:rsid w:val="79123A0C"/>
    <w:rsid w:val="7913142C"/>
    <w:rsid w:val="79175A19"/>
    <w:rsid w:val="793B29CD"/>
    <w:rsid w:val="796C5C36"/>
    <w:rsid w:val="79781E9A"/>
    <w:rsid w:val="79990240"/>
    <w:rsid w:val="799D7BDB"/>
    <w:rsid w:val="79A0518F"/>
    <w:rsid w:val="79AE4499"/>
    <w:rsid w:val="79C77518"/>
    <w:rsid w:val="79D403AB"/>
    <w:rsid w:val="79D67EB7"/>
    <w:rsid w:val="79E37286"/>
    <w:rsid w:val="79F05FE8"/>
    <w:rsid w:val="79F4714B"/>
    <w:rsid w:val="7A2B6110"/>
    <w:rsid w:val="7A421FDB"/>
    <w:rsid w:val="7A467896"/>
    <w:rsid w:val="7A4B5470"/>
    <w:rsid w:val="7A592C78"/>
    <w:rsid w:val="7A6218F7"/>
    <w:rsid w:val="7A6A16FF"/>
    <w:rsid w:val="7A7D4AD8"/>
    <w:rsid w:val="7A9D4158"/>
    <w:rsid w:val="7AA9709D"/>
    <w:rsid w:val="7AB51E21"/>
    <w:rsid w:val="7AC42E8F"/>
    <w:rsid w:val="7AC43B93"/>
    <w:rsid w:val="7ADC2C3D"/>
    <w:rsid w:val="7AEA17B4"/>
    <w:rsid w:val="7AEC3131"/>
    <w:rsid w:val="7AF92ADD"/>
    <w:rsid w:val="7AFA477B"/>
    <w:rsid w:val="7B044964"/>
    <w:rsid w:val="7B120549"/>
    <w:rsid w:val="7B1237F1"/>
    <w:rsid w:val="7B16547F"/>
    <w:rsid w:val="7B206B0E"/>
    <w:rsid w:val="7B214D1E"/>
    <w:rsid w:val="7B286694"/>
    <w:rsid w:val="7B4F6F1B"/>
    <w:rsid w:val="7B537266"/>
    <w:rsid w:val="7B6220EC"/>
    <w:rsid w:val="7B6525CE"/>
    <w:rsid w:val="7B7066C6"/>
    <w:rsid w:val="7B71428B"/>
    <w:rsid w:val="7B9825AF"/>
    <w:rsid w:val="7B987E42"/>
    <w:rsid w:val="7BA314EE"/>
    <w:rsid w:val="7BA7639C"/>
    <w:rsid w:val="7BC83D18"/>
    <w:rsid w:val="7BCF1BAC"/>
    <w:rsid w:val="7BE16B16"/>
    <w:rsid w:val="7BE32629"/>
    <w:rsid w:val="7BE5771B"/>
    <w:rsid w:val="7BEF7808"/>
    <w:rsid w:val="7C105F8C"/>
    <w:rsid w:val="7C1507F4"/>
    <w:rsid w:val="7C1B73CE"/>
    <w:rsid w:val="7C1E5890"/>
    <w:rsid w:val="7C1F4D17"/>
    <w:rsid w:val="7C2A5C12"/>
    <w:rsid w:val="7C2E527F"/>
    <w:rsid w:val="7C424FF1"/>
    <w:rsid w:val="7C4B6496"/>
    <w:rsid w:val="7C69647A"/>
    <w:rsid w:val="7C9450A6"/>
    <w:rsid w:val="7C9D483F"/>
    <w:rsid w:val="7CB30119"/>
    <w:rsid w:val="7CDF50F0"/>
    <w:rsid w:val="7CE903B0"/>
    <w:rsid w:val="7CF33704"/>
    <w:rsid w:val="7D0A5B17"/>
    <w:rsid w:val="7D17415E"/>
    <w:rsid w:val="7D1D675B"/>
    <w:rsid w:val="7D584805"/>
    <w:rsid w:val="7D5B65E0"/>
    <w:rsid w:val="7D6A4A9B"/>
    <w:rsid w:val="7D756032"/>
    <w:rsid w:val="7D805EAC"/>
    <w:rsid w:val="7D815EF5"/>
    <w:rsid w:val="7D916527"/>
    <w:rsid w:val="7D92543A"/>
    <w:rsid w:val="7D967387"/>
    <w:rsid w:val="7D9D6116"/>
    <w:rsid w:val="7DAA2623"/>
    <w:rsid w:val="7DCA6695"/>
    <w:rsid w:val="7DCC0F05"/>
    <w:rsid w:val="7DDD70D1"/>
    <w:rsid w:val="7DE30A4A"/>
    <w:rsid w:val="7DE57FAE"/>
    <w:rsid w:val="7DEA30EA"/>
    <w:rsid w:val="7DED4F90"/>
    <w:rsid w:val="7E033AD2"/>
    <w:rsid w:val="7E065BBC"/>
    <w:rsid w:val="7E10438C"/>
    <w:rsid w:val="7E1153D1"/>
    <w:rsid w:val="7E1776F2"/>
    <w:rsid w:val="7E1826BE"/>
    <w:rsid w:val="7E1D3C75"/>
    <w:rsid w:val="7E234EC0"/>
    <w:rsid w:val="7E3310AB"/>
    <w:rsid w:val="7E58249B"/>
    <w:rsid w:val="7E670616"/>
    <w:rsid w:val="7E6F1378"/>
    <w:rsid w:val="7E7820D0"/>
    <w:rsid w:val="7E805754"/>
    <w:rsid w:val="7EA311C1"/>
    <w:rsid w:val="7EA33E30"/>
    <w:rsid w:val="7EB27B82"/>
    <w:rsid w:val="7ED3519C"/>
    <w:rsid w:val="7F0039AA"/>
    <w:rsid w:val="7F121B7E"/>
    <w:rsid w:val="7F1F5DE0"/>
    <w:rsid w:val="7F224CFB"/>
    <w:rsid w:val="7F364356"/>
    <w:rsid w:val="7F3C4384"/>
    <w:rsid w:val="7F53019A"/>
    <w:rsid w:val="7F566CAE"/>
    <w:rsid w:val="7F5D21CC"/>
    <w:rsid w:val="7F664FA3"/>
    <w:rsid w:val="7F6A023C"/>
    <w:rsid w:val="7F722E65"/>
    <w:rsid w:val="7F9117B3"/>
    <w:rsid w:val="7FA7492B"/>
    <w:rsid w:val="7FB02F97"/>
    <w:rsid w:val="7FB2415A"/>
    <w:rsid w:val="7FB94B1C"/>
    <w:rsid w:val="7FDB0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jc w:val="center"/>
      <w:outlineLvl w:val="0"/>
    </w:pPr>
    <w:rPr>
      <w:rFonts w:ascii="Tahoma" w:eastAsia="Tahoma"/>
      <w:b/>
      <w:bCs/>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kern w:val="0"/>
      <w:sz w:val="32"/>
      <w:szCs w:val="32"/>
    </w:rPr>
  </w:style>
  <w:style w:type="paragraph" w:styleId="5">
    <w:name w:val="heading 3"/>
    <w:basedOn w:val="1"/>
    <w:next w:val="1"/>
    <w:qFormat/>
    <w:uiPriority w:val="1"/>
    <w:pPr>
      <w:ind w:left="114"/>
      <w:outlineLvl w:val="2"/>
    </w:pPr>
    <w:rPr>
      <w:rFonts w:ascii="华文宋体" w:hAnsi="华文宋体" w:eastAsia="华文宋体"/>
      <w:sz w:val="23"/>
      <w:szCs w:val="23"/>
    </w:rPr>
  </w:style>
  <w:style w:type="paragraph" w:styleId="6">
    <w:name w:val="heading 5"/>
    <w:basedOn w:val="1"/>
    <w:next w:val="1"/>
    <w:qFormat/>
    <w:uiPriority w:val="1"/>
    <w:pPr>
      <w:spacing w:before="20"/>
      <w:ind w:left="214"/>
      <w:outlineLvl w:val="4"/>
    </w:pPr>
    <w:rPr>
      <w:rFonts w:ascii="华文宋体" w:hAnsi="华文宋体" w:eastAsia="华文宋体"/>
      <w:sz w:val="18"/>
      <w:szCs w:val="18"/>
    </w:rPr>
  </w:style>
  <w:style w:type="character" w:default="1" w:styleId="23">
    <w:name w:val="Default Paragraph Font"/>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2">
    <w:name w:val="Block Text"/>
    <w:basedOn w:val="1"/>
    <w:qFormat/>
    <w:uiPriority w:val="0"/>
    <w:pPr>
      <w:spacing w:line="300" w:lineRule="exact"/>
      <w:ind w:left="90" w:leftChars="43" w:right="25" w:rightChars="12" w:firstLine="480" w:firstLineChars="200"/>
    </w:pPr>
    <w:rPr>
      <w:rFonts w:ascii="仿宋_GB2312" w:hAnsi="宋体" w:eastAsia="仿宋_GB2312"/>
      <w:sz w:val="24"/>
    </w:rPr>
  </w:style>
  <w:style w:type="paragraph" w:styleId="7">
    <w:name w:val="annotation subject"/>
    <w:basedOn w:val="8"/>
    <w:next w:val="8"/>
    <w:link w:val="31"/>
    <w:qFormat/>
    <w:uiPriority w:val="0"/>
    <w:rPr>
      <w:b/>
      <w:bCs/>
    </w:rPr>
  </w:style>
  <w:style w:type="paragraph" w:styleId="8">
    <w:name w:val="annotation text"/>
    <w:basedOn w:val="1"/>
    <w:link w:val="29"/>
    <w:qFormat/>
    <w:uiPriority w:val="0"/>
    <w:pPr>
      <w:jc w:val="left"/>
    </w:pPr>
    <w:rPr>
      <w:rFonts w:ascii="Calibri" w:hAnsi="Calibri"/>
    </w:rPr>
  </w:style>
  <w:style w:type="paragraph" w:styleId="9">
    <w:name w:val="Body Text First Indent"/>
    <w:basedOn w:val="10"/>
    <w:next w:val="11"/>
    <w:qFormat/>
    <w:uiPriority w:val="0"/>
    <w:pPr>
      <w:autoSpaceDE w:val="0"/>
      <w:autoSpaceDN w:val="0"/>
      <w:adjustRightInd w:val="0"/>
      <w:ind w:firstLine="420" w:firstLineChars="100"/>
      <w:jc w:val="left"/>
    </w:pPr>
  </w:style>
  <w:style w:type="paragraph" w:styleId="10">
    <w:name w:val="Body Text"/>
    <w:basedOn w:val="1"/>
    <w:next w:val="9"/>
    <w:qFormat/>
    <w:uiPriority w:val="0"/>
    <w:pPr>
      <w:spacing w:after="120"/>
    </w:pPr>
    <w:rPr>
      <w:rFonts w:eastAsia="宋体,Verdana,Arial"/>
    </w:rPr>
  </w:style>
  <w:style w:type="paragraph" w:styleId="11">
    <w:name w:val="toc 6"/>
    <w:basedOn w:val="1"/>
    <w:next w:val="1"/>
    <w:semiHidden/>
    <w:qFormat/>
    <w:uiPriority w:val="0"/>
    <w:pPr>
      <w:ind w:left="1050"/>
      <w:jc w:val="left"/>
    </w:pPr>
    <w:rPr>
      <w:sz w:val="18"/>
      <w:szCs w:val="18"/>
    </w:rPr>
  </w:style>
  <w:style w:type="paragraph" w:styleId="12">
    <w:name w:val="Normal Indent"/>
    <w:basedOn w:val="1"/>
    <w:qFormat/>
    <w:uiPriority w:val="0"/>
    <w:pPr>
      <w:adjustRightInd w:val="0"/>
      <w:spacing w:line="312" w:lineRule="atLeast"/>
      <w:ind w:firstLine="420"/>
      <w:textAlignment w:val="baseline"/>
    </w:pPr>
    <w:rPr>
      <w:rFonts w:eastAsia="宋体,Verdana,Arial"/>
      <w:kern w:val="0"/>
      <w:szCs w:val="20"/>
    </w:rPr>
  </w:style>
  <w:style w:type="paragraph" w:styleId="13">
    <w:name w:val="Body Text Indent"/>
    <w:basedOn w:val="1"/>
    <w:qFormat/>
    <w:uiPriority w:val="0"/>
    <w:pPr>
      <w:ind w:left="480" w:hanging="480" w:hangingChars="200"/>
    </w:pPr>
    <w:rPr>
      <w:sz w:val="24"/>
    </w:rPr>
  </w:style>
  <w:style w:type="paragraph" w:styleId="14">
    <w:name w:val="Plain Text"/>
    <w:basedOn w:val="1"/>
    <w:qFormat/>
    <w:uiPriority w:val="0"/>
    <w:pPr>
      <w:widowControl/>
      <w:overflowPunct w:val="0"/>
      <w:autoSpaceDE w:val="0"/>
      <w:autoSpaceDN w:val="0"/>
      <w:adjustRightInd w:val="0"/>
      <w:jc w:val="left"/>
      <w:textAlignment w:val="baseline"/>
    </w:pPr>
    <w:rPr>
      <w:rFonts w:ascii="宋体,Verdana,Arial" w:hAnsi="Tahoma" w:eastAsia="宋体,Verdana,Arial"/>
      <w:kern w:val="0"/>
      <w:szCs w:val="21"/>
    </w:rPr>
  </w:style>
  <w:style w:type="paragraph" w:styleId="15">
    <w:name w:val="Date"/>
    <w:basedOn w:val="1"/>
    <w:next w:val="1"/>
    <w:qFormat/>
    <w:uiPriority w:val="0"/>
    <w:pPr>
      <w:ind w:left="100" w:leftChars="2500"/>
    </w:pPr>
    <w:rPr>
      <w:szCs w:val="20"/>
    </w:rPr>
  </w:style>
  <w:style w:type="paragraph" w:styleId="16">
    <w:name w:val="Balloon Text"/>
    <w:basedOn w:val="1"/>
    <w:link w:val="30"/>
    <w:qFormat/>
    <w:uiPriority w:val="0"/>
    <w:rPr>
      <w:rFonts w:ascii="Calibri" w:hAnsi="Calibri"/>
      <w:sz w:val="18"/>
      <w:szCs w:val="18"/>
    </w:rPr>
  </w:style>
  <w:style w:type="paragraph" w:styleId="17">
    <w:name w:val="footer"/>
    <w:basedOn w:val="1"/>
    <w:qFormat/>
    <w:uiPriority w:val="99"/>
    <w:pPr>
      <w:tabs>
        <w:tab w:val="center" w:pos="4153"/>
        <w:tab w:val="right" w:pos="8306"/>
      </w:tabs>
      <w:snapToGrid w:val="0"/>
      <w:jc w:val="left"/>
    </w:pPr>
    <w:rPr>
      <w:sz w:val="18"/>
      <w:szCs w:val="18"/>
    </w:rPr>
  </w:style>
  <w:style w:type="paragraph" w:styleId="18">
    <w:name w:val="Body Text First Indent 2"/>
    <w:basedOn w:val="13"/>
    <w:qFormat/>
    <w:uiPriority w:val="99"/>
    <w:pPr>
      <w:ind w:firstLine="420" w:firstLineChars="200"/>
    </w:pPr>
  </w:style>
  <w:style w:type="paragraph" w:styleId="1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tabs>
        <w:tab w:val="right" w:leader="dot" w:pos="9660"/>
      </w:tabs>
      <w:spacing w:line="480" w:lineRule="auto"/>
    </w:pPr>
  </w:style>
  <w:style w:type="paragraph" w:styleId="21">
    <w:name w:val="Normal (Web)"/>
    <w:basedOn w:val="1"/>
    <w:qFormat/>
    <w:uiPriority w:val="0"/>
    <w:pPr>
      <w:spacing w:before="100" w:beforeAutospacing="1" w:after="100" w:afterAutospacing="1"/>
      <w:jc w:val="left"/>
    </w:pPr>
    <w:rPr>
      <w:kern w:val="0"/>
      <w:sz w:val="24"/>
    </w:rPr>
  </w:style>
  <w:style w:type="paragraph" w:styleId="22">
    <w:name w:val="Title"/>
    <w:basedOn w:val="1"/>
    <w:next w:val="1"/>
    <w:qFormat/>
    <w:uiPriority w:val="0"/>
    <w:pPr>
      <w:spacing w:before="60" w:after="60"/>
      <w:jc w:val="center"/>
      <w:outlineLvl w:val="0"/>
    </w:pPr>
    <w:rPr>
      <w:rFonts w:ascii="Cambria" w:hAnsi="Cambria" w:eastAsia="黑体"/>
      <w:b/>
      <w:bCs/>
      <w:sz w:val="32"/>
      <w:szCs w:val="32"/>
    </w:rPr>
  </w:style>
  <w:style w:type="character" w:styleId="24">
    <w:name w:val="page number"/>
    <w:basedOn w:val="23"/>
    <w:qFormat/>
    <w:uiPriority w:val="0"/>
  </w:style>
  <w:style w:type="character" w:styleId="25">
    <w:name w:val="Hyperlink"/>
    <w:basedOn w:val="23"/>
    <w:qFormat/>
    <w:uiPriority w:val="99"/>
    <w:rPr>
      <w:color w:val="0000FF"/>
      <w:u w:val="single"/>
    </w:rPr>
  </w:style>
  <w:style w:type="character" w:styleId="26">
    <w:name w:val="annotation reference"/>
    <w:qFormat/>
    <w:uiPriority w:val="0"/>
    <w:rPr>
      <w:sz w:val="21"/>
      <w:szCs w:val="21"/>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9">
    <w:name w:val="批注文字 Char"/>
    <w:link w:val="8"/>
    <w:qFormat/>
    <w:uiPriority w:val="0"/>
    <w:rPr>
      <w:rFonts w:ascii="Calibri" w:hAnsi="Calibri"/>
      <w:kern w:val="2"/>
      <w:sz w:val="21"/>
      <w:szCs w:val="24"/>
    </w:rPr>
  </w:style>
  <w:style w:type="character" w:customStyle="1" w:styleId="30">
    <w:name w:val="批注框文本 Char"/>
    <w:link w:val="16"/>
    <w:qFormat/>
    <w:uiPriority w:val="0"/>
    <w:rPr>
      <w:rFonts w:ascii="Calibri" w:hAnsi="Calibri"/>
      <w:kern w:val="2"/>
      <w:sz w:val="18"/>
      <w:szCs w:val="18"/>
    </w:rPr>
  </w:style>
  <w:style w:type="character" w:customStyle="1" w:styleId="31">
    <w:name w:val="批注主题 Char"/>
    <w:link w:val="7"/>
    <w:qFormat/>
    <w:uiPriority w:val="0"/>
    <w:rPr>
      <w:rFonts w:ascii="Calibri" w:hAnsi="Calibri"/>
      <w:b/>
      <w:bCs/>
      <w:kern w:val="2"/>
      <w:sz w:val="21"/>
      <w:szCs w:val="24"/>
    </w:rPr>
  </w:style>
  <w:style w:type="paragraph" w:customStyle="1" w:styleId="32">
    <w:name w:val="Default"/>
    <w:qFormat/>
    <w:uiPriority w:val="0"/>
    <w:pPr>
      <w:widowControl w:val="0"/>
      <w:autoSpaceDE w:val="0"/>
      <w:autoSpaceDN w:val="0"/>
      <w:adjustRightInd w:val="0"/>
    </w:pPr>
    <w:rPr>
      <w:rFonts w:ascii="新宋体" w:hAnsi="新宋体" w:eastAsia="宋体" w:cs="新宋体"/>
      <w:color w:val="000000"/>
      <w:sz w:val="24"/>
      <w:szCs w:val="24"/>
      <w:lang w:val="en-US" w:eastAsia="zh-CN" w:bidi="ar-SA"/>
    </w:rPr>
  </w:style>
  <w:style w:type="paragraph" w:customStyle="1" w:styleId="33">
    <w:name w:val="表格文字"/>
    <w:basedOn w:val="1"/>
    <w:next w:val="10"/>
    <w:qFormat/>
    <w:uiPriority w:val="0"/>
    <w:pPr>
      <w:adjustRightInd w:val="0"/>
      <w:spacing w:line="420" w:lineRule="atLeast"/>
      <w:jc w:val="left"/>
      <w:textAlignment w:val="baseline"/>
    </w:pPr>
  </w:style>
  <w:style w:type="paragraph" w:customStyle="1" w:styleId="34">
    <w:name w:val="Table Paragraph"/>
    <w:basedOn w:val="1"/>
    <w:qFormat/>
    <w:uiPriority w:val="1"/>
  </w:style>
  <w:style w:type="paragraph" w:styleId="35">
    <w:name w:val="List Paragraph"/>
    <w:basedOn w:val="1"/>
    <w:qFormat/>
    <w:uiPriority w:val="34"/>
    <w:pPr>
      <w:ind w:firstLine="420" w:firstLineChars="200"/>
    </w:pPr>
  </w:style>
  <w:style w:type="paragraph" w:customStyle="1" w:styleId="36">
    <w:name w:val="普通 (Web)"/>
    <w:basedOn w:val="1"/>
    <w:qFormat/>
    <w:uiPriority w:val="0"/>
    <w:pPr>
      <w:widowControl/>
      <w:spacing w:before="100" w:beforeAutospacing="1" w:after="100" w:afterAutospacing="1"/>
      <w:jc w:val="left"/>
    </w:pPr>
    <w:rPr>
      <w:rFonts w:ascii="宋体" w:hAnsi="宋体"/>
      <w:color w:val="336699"/>
      <w:kern w:val="0"/>
      <w:sz w:val="24"/>
    </w:rPr>
  </w:style>
  <w:style w:type="table" w:customStyle="1" w:styleId="37">
    <w:name w:val="Table Normal"/>
    <w:unhideWhenUsed/>
    <w:qFormat/>
    <w:uiPriority w:val="2"/>
    <w:tblPr>
      <w:tblLayout w:type="fixed"/>
      <w:tblCellMar>
        <w:top w:w="0" w:type="dxa"/>
        <w:left w:w="0" w:type="dxa"/>
        <w:bottom w:w="0" w:type="dxa"/>
        <w:right w:w="0" w:type="dxa"/>
      </w:tblCellMar>
    </w:tblPr>
  </w:style>
  <w:style w:type="paragraph" w:customStyle="1" w:styleId="38">
    <w:name w:val="列出段落2"/>
    <w:basedOn w:val="1"/>
    <w:qFormat/>
    <w:uiPriority w:val="34"/>
    <w:pPr>
      <w:widowControl/>
      <w:ind w:left="720"/>
      <w:contextualSpacing/>
      <w:jc w:val="left"/>
    </w:pPr>
    <w:rPr>
      <w:kern w:val="0"/>
      <w:sz w:val="24"/>
      <w:lang w:eastAsia="en-US"/>
    </w:rPr>
  </w:style>
  <w:style w:type="character" w:customStyle="1" w:styleId="39">
    <w:name w:val="标题 2 字符"/>
    <w:qFormat/>
    <w:uiPriority w:val="0"/>
    <w:rPr>
      <w:rFonts w:ascii="宋体" w:hAnsi="宋体"/>
      <w:b/>
      <w:bCs/>
      <w:iCs/>
      <w:sz w:val="28"/>
      <w:szCs w:val="28"/>
    </w:rPr>
  </w:style>
  <w:style w:type="character" w:customStyle="1" w:styleId="40">
    <w:name w:val="font01"/>
    <w:basedOn w:val="23"/>
    <w:qFormat/>
    <w:uiPriority w:val="0"/>
    <w:rPr>
      <w:rFonts w:hint="eastAsia" w:ascii="宋体" w:hAnsi="宋体" w:eastAsia="宋体" w:cs="宋体"/>
      <w:color w:val="000000"/>
      <w:sz w:val="18"/>
      <w:szCs w:val="18"/>
      <w:u w:val="none"/>
    </w:rPr>
  </w:style>
  <w:style w:type="paragraph" w:customStyle="1" w:styleId="41">
    <w:name w:val="正文1"/>
    <w:basedOn w:val="1"/>
    <w:qFormat/>
    <w:uiPriority w:val="0"/>
    <w:pPr>
      <w:spacing w:line="440" w:lineRule="exact"/>
      <w:ind w:firstLine="480" w:firstLineChars="200"/>
    </w:pPr>
    <w:rPr>
      <w:bCs/>
      <w:color w:val="000000"/>
      <w:kern w:val="16"/>
      <w:sz w:val="24"/>
      <w:szCs w:val="32"/>
    </w:rPr>
  </w:style>
  <w:style w:type="paragraph" w:customStyle="1" w:styleId="42">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3073"/>
    <customShpInfo spid="_x0000_s3074"/>
    <customShpInfo spid="_x0000_s3075"/>
    <customShpInfo spid="_x0000_s3076"/>
    <customShpInfo spid="_x0000_s307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47</Pages>
  <Words>5189</Words>
  <Characters>29580</Characters>
  <Lines>246</Lines>
  <Paragraphs>69</Paragraphs>
  <TotalTime>7</TotalTime>
  <ScaleCrop>false</ScaleCrop>
  <LinksUpToDate>false</LinksUpToDate>
  <CharactersWithSpaces>34700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2021-06-29T07:29:00Z</dcterms:created>
  <dc:creator>lenovo</dc:creator>
  <cp:lastModifiedBy>王莉</cp:lastModifiedBy>
  <dcterms:modified xsi:type="dcterms:W3CDTF">2021-09-07T08:34:12Z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2D616F11AC244DAAB76D038489B95E6C</vt:lpwstr>
  </property>
</Properties>
</file>